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D8727" w14:textId="77777777" w:rsidR="00AB571E" w:rsidRDefault="00AB571E" w:rsidP="00AB571E">
      <w:pPr>
        <w:rPr>
          <w:sz w:val="24"/>
        </w:rPr>
      </w:pPr>
    </w:p>
    <w:p w14:paraId="2D9E400E" w14:textId="305CA360" w:rsidR="00AB571E" w:rsidRDefault="004973ED" w:rsidP="00AB571E">
      <w:pPr>
        <w:jc w:val="center"/>
        <w:rPr>
          <w:b/>
          <w:bCs/>
          <w:sz w:val="24"/>
        </w:rPr>
      </w:pPr>
      <w:r>
        <w:rPr>
          <w:rFonts w:eastAsia="Times New Roman"/>
          <w:noProof/>
        </w:rPr>
        <w:drawing>
          <wp:inline distT="0" distB="0" distL="0" distR="0" wp14:anchorId="08B4B8E7" wp14:editId="707F05B2">
            <wp:extent cx="2182459" cy="158636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90295" cy="1592061"/>
                    </a:xfrm>
                    <a:prstGeom prst="rect">
                      <a:avLst/>
                    </a:prstGeom>
                    <a:noFill/>
                    <a:ln>
                      <a:noFill/>
                    </a:ln>
                  </pic:spPr>
                </pic:pic>
              </a:graphicData>
            </a:graphic>
          </wp:inline>
        </w:drawing>
      </w:r>
    </w:p>
    <w:p w14:paraId="2B0C32ED" w14:textId="77777777" w:rsidR="00AB571E" w:rsidRDefault="00AB571E" w:rsidP="00AB571E">
      <w:pPr>
        <w:rPr>
          <w:b/>
          <w:bCs/>
          <w:sz w:val="24"/>
        </w:rPr>
      </w:pPr>
    </w:p>
    <w:p w14:paraId="77232669" w14:textId="77777777" w:rsidR="00AB571E" w:rsidRDefault="00AB571E" w:rsidP="00AB571E">
      <w:pPr>
        <w:rPr>
          <w:sz w:val="24"/>
        </w:rPr>
      </w:pPr>
    </w:p>
    <w:p w14:paraId="1A859165" w14:textId="77777777" w:rsidR="00AB571E" w:rsidRDefault="00AB571E" w:rsidP="00AB571E">
      <w:pPr>
        <w:pBdr>
          <w:top w:val="thickThinSmallGap" w:sz="24" w:space="1" w:color="000000" w:shadow="1"/>
          <w:left w:val="thickThinSmallGap" w:sz="24" w:space="4" w:color="000000" w:shadow="1"/>
          <w:bottom w:val="thickThinSmallGap" w:sz="24" w:space="1" w:color="000000" w:shadow="1"/>
          <w:right w:val="thickThinSmallGap" w:sz="24" w:space="4" w:color="000000" w:shadow="1"/>
        </w:pBdr>
        <w:shd w:val="clear" w:color="auto" w:fill="DFDFDF"/>
        <w:jc w:val="center"/>
        <w:rPr>
          <w:sz w:val="24"/>
        </w:rPr>
      </w:pPr>
    </w:p>
    <w:p w14:paraId="11277DED" w14:textId="77777777" w:rsidR="00AB571E" w:rsidRDefault="00AB571E" w:rsidP="00AB571E">
      <w:pPr>
        <w:pBdr>
          <w:top w:val="thickThinSmallGap" w:sz="24" w:space="1" w:color="000000" w:shadow="1"/>
          <w:left w:val="thickThinSmallGap" w:sz="24" w:space="4" w:color="000000" w:shadow="1"/>
          <w:bottom w:val="thickThinSmallGap" w:sz="24" w:space="1" w:color="000000" w:shadow="1"/>
          <w:right w:val="thickThinSmallGap" w:sz="24" w:space="4" w:color="000000" w:shadow="1"/>
        </w:pBdr>
        <w:shd w:val="clear" w:color="auto" w:fill="DFDFDF"/>
        <w:jc w:val="center"/>
        <w:rPr>
          <w:sz w:val="24"/>
        </w:rPr>
      </w:pPr>
    </w:p>
    <w:p w14:paraId="3316A359" w14:textId="55E482A6" w:rsidR="00AB571E" w:rsidRDefault="00AB571E" w:rsidP="00AB571E">
      <w:pPr>
        <w:pBdr>
          <w:top w:val="thickThinSmallGap" w:sz="24" w:space="1" w:color="000000" w:shadow="1"/>
          <w:left w:val="thickThinSmallGap" w:sz="24" w:space="4" w:color="000000" w:shadow="1"/>
          <w:bottom w:val="thickThinSmallGap" w:sz="24" w:space="1" w:color="000000" w:shadow="1"/>
          <w:right w:val="thickThinSmallGap" w:sz="24" w:space="4" w:color="000000" w:shadow="1"/>
        </w:pBdr>
        <w:shd w:val="clear" w:color="auto" w:fill="DFDFDF"/>
        <w:jc w:val="center"/>
      </w:pPr>
      <w:r w:rsidRPr="00AB571E">
        <w:rPr>
          <w:rFonts w:ascii="Rockwell" w:hAnsi="Rockwell" w:cs="Rockwell"/>
          <w:b/>
          <w:sz w:val="40"/>
          <w14:shadow w14:blurRad="50800" w14:dist="38100" w14:dir="2700000" w14:sx="100000" w14:sy="100000" w14:kx="0" w14:ky="0" w14:algn="tl">
            <w14:srgbClr w14:val="000000">
              <w14:alpha w14:val="60000"/>
            </w14:srgbClr>
          </w14:shadow>
        </w:rPr>
        <w:t xml:space="preserve">AUTORISATION D’OCCUPATION TEMPORAIRE DU DOMAINE PUBLIC </w:t>
      </w:r>
    </w:p>
    <w:p w14:paraId="0685544B" w14:textId="7EBD93A7" w:rsidR="00AB571E" w:rsidRDefault="00AB571E" w:rsidP="00AB571E">
      <w:pPr>
        <w:pBdr>
          <w:top w:val="thickThinSmallGap" w:sz="24" w:space="1" w:color="000000" w:shadow="1"/>
          <w:left w:val="thickThinSmallGap" w:sz="24" w:space="4" w:color="000000" w:shadow="1"/>
          <w:bottom w:val="thickThinSmallGap" w:sz="24" w:space="1" w:color="000000" w:shadow="1"/>
          <w:right w:val="thickThinSmallGap" w:sz="24" w:space="4" w:color="000000" w:shadow="1"/>
        </w:pBdr>
        <w:shd w:val="clear" w:color="auto" w:fill="DFDFDF"/>
        <w:jc w:val="center"/>
      </w:pPr>
      <w:r w:rsidRPr="00AB571E">
        <w:rPr>
          <w:rFonts w:ascii="Rockwell" w:hAnsi="Rockwell" w:cs="Rockwell"/>
          <w:b/>
          <w:sz w:val="40"/>
          <w14:shadow w14:blurRad="50800" w14:dist="38100" w14:dir="2700000" w14:sx="100000" w14:sy="100000" w14:kx="0" w14:ky="0" w14:algn="tl">
            <w14:srgbClr w14:val="000000">
              <w14:alpha w14:val="60000"/>
            </w14:srgbClr>
          </w14:shadow>
        </w:rPr>
        <w:t>POUR L’EXPLOITATION D</w:t>
      </w:r>
      <w:r>
        <w:rPr>
          <w:rFonts w:ascii="Rockwell" w:hAnsi="Rockwell" w:cs="Rockwell"/>
          <w:b/>
          <w:sz w:val="40"/>
          <w14:shadow w14:blurRad="50800" w14:dist="38100" w14:dir="2700000" w14:sx="100000" w14:sy="100000" w14:kx="0" w14:ky="0" w14:algn="tl">
            <w14:srgbClr w14:val="000000">
              <w14:alpha w14:val="60000"/>
            </w14:srgbClr>
          </w14:shadow>
        </w:rPr>
        <w:t>’UNE</w:t>
      </w:r>
      <w:r w:rsidRPr="00AB571E">
        <w:rPr>
          <w:rFonts w:ascii="Rockwell" w:hAnsi="Rockwell" w:cs="Rockwell"/>
          <w:b/>
          <w:sz w:val="40"/>
          <w14:shadow w14:blurRad="50800" w14:dist="38100" w14:dir="2700000" w14:sx="100000" w14:sy="100000" w14:kx="0" w14:ky="0" w14:algn="tl">
            <w14:srgbClr w14:val="000000">
              <w14:alpha w14:val="60000"/>
            </w14:srgbClr>
          </w14:shadow>
        </w:rPr>
        <w:t xml:space="preserve"> « CABANE » DESTINÉE </w:t>
      </w:r>
      <w:r>
        <w:rPr>
          <w:rFonts w:ascii="Rockwell" w:hAnsi="Rockwell" w:cs="Rockwell"/>
          <w:b/>
          <w:sz w:val="40"/>
          <w14:shadow w14:blurRad="50800" w14:dist="38100" w14:dir="2700000" w14:sx="100000" w14:sy="100000" w14:kx="0" w14:ky="0" w14:algn="tl">
            <w14:srgbClr w14:val="000000">
              <w14:alpha w14:val="60000"/>
            </w14:srgbClr>
          </w14:shadow>
        </w:rPr>
        <w:t>À</w:t>
      </w:r>
      <w:r w:rsidRPr="00AB571E">
        <w:rPr>
          <w:rFonts w:ascii="Rockwell" w:hAnsi="Rockwell" w:cs="Rockwell"/>
          <w:b/>
          <w:sz w:val="40"/>
          <w14:shadow w14:blurRad="50800" w14:dist="38100" w14:dir="2700000" w14:sx="100000" w14:sy="100000" w14:kx="0" w14:ky="0" w14:algn="tl">
            <w14:srgbClr w14:val="000000">
              <w14:alpha w14:val="60000"/>
            </w14:srgbClr>
          </w14:shadow>
        </w:rPr>
        <w:t xml:space="preserve"> LA VENTE DE PRODUITS ALIMENTAIRES</w:t>
      </w:r>
    </w:p>
    <w:p w14:paraId="43FF753F" w14:textId="77777777" w:rsidR="00AB571E" w:rsidRPr="00AB571E" w:rsidRDefault="00AB571E" w:rsidP="00AB571E">
      <w:pPr>
        <w:pBdr>
          <w:top w:val="thickThinSmallGap" w:sz="24" w:space="1" w:color="000000" w:shadow="1"/>
          <w:left w:val="thickThinSmallGap" w:sz="24" w:space="4" w:color="000000" w:shadow="1"/>
          <w:bottom w:val="thickThinSmallGap" w:sz="24" w:space="1" w:color="000000" w:shadow="1"/>
          <w:right w:val="thickThinSmallGap" w:sz="24" w:space="4" w:color="000000" w:shadow="1"/>
        </w:pBdr>
        <w:shd w:val="clear" w:color="auto" w:fill="DFDFDF"/>
        <w:jc w:val="center"/>
        <w:rPr>
          <w:rFonts w:ascii="Rockwell" w:hAnsi="Rockwell" w:cs="Rockwell"/>
          <w:b/>
          <w:sz w:val="40"/>
          <w14:shadow w14:blurRad="50800" w14:dist="38100" w14:dir="2700000" w14:sx="100000" w14:sy="100000" w14:kx="0" w14:ky="0" w14:algn="tl">
            <w14:srgbClr w14:val="000000">
              <w14:alpha w14:val="60000"/>
            </w14:srgbClr>
          </w14:shadow>
        </w:rPr>
      </w:pPr>
    </w:p>
    <w:p w14:paraId="3A41CDF9" w14:textId="6FCC0AC0" w:rsidR="00AB571E" w:rsidRDefault="00AB571E" w:rsidP="00AB571E">
      <w:pPr>
        <w:pBdr>
          <w:top w:val="thickThinSmallGap" w:sz="24" w:space="1" w:color="000000" w:shadow="1"/>
          <w:left w:val="thickThinSmallGap" w:sz="24" w:space="4" w:color="000000" w:shadow="1"/>
          <w:bottom w:val="thickThinSmallGap" w:sz="24" w:space="1" w:color="000000" w:shadow="1"/>
          <w:right w:val="thickThinSmallGap" w:sz="24" w:space="4" w:color="000000" w:shadow="1"/>
        </w:pBdr>
        <w:shd w:val="clear" w:color="auto" w:fill="DFDFDF"/>
        <w:jc w:val="center"/>
      </w:pPr>
      <w:r w:rsidRPr="00AB571E">
        <w:rPr>
          <w:rFonts w:ascii="Rockwell" w:hAnsi="Rockwell" w:cs="Rockwell"/>
          <w:b/>
          <w:sz w:val="40"/>
          <w14:shadow w14:blurRad="50800" w14:dist="38100" w14:dir="2700000" w14:sx="100000" w14:sy="100000" w14:kx="0" w14:ky="0" w14:algn="tl">
            <w14:srgbClr w14:val="000000">
              <w14:alpha w14:val="60000"/>
            </w14:srgbClr>
          </w14:shadow>
        </w:rPr>
        <w:t xml:space="preserve">BOULEVARD DE LA MER </w:t>
      </w:r>
    </w:p>
    <w:p w14:paraId="0987AC5E" w14:textId="2D35F151" w:rsidR="00AB571E" w:rsidRDefault="004973ED" w:rsidP="00AB571E">
      <w:pPr>
        <w:pBdr>
          <w:top w:val="thickThinSmallGap" w:sz="24" w:space="1" w:color="000000" w:shadow="1"/>
          <w:left w:val="thickThinSmallGap" w:sz="24" w:space="4" w:color="000000" w:shadow="1"/>
          <w:bottom w:val="thickThinSmallGap" w:sz="24" w:space="1" w:color="000000" w:shadow="1"/>
          <w:right w:val="thickThinSmallGap" w:sz="24" w:space="4" w:color="000000" w:shadow="1"/>
        </w:pBdr>
        <w:shd w:val="clear" w:color="auto" w:fill="DFDFDF"/>
        <w:jc w:val="center"/>
      </w:pPr>
      <w:r w:rsidRPr="00AB571E">
        <w:rPr>
          <w:rFonts w:ascii="Rockwell" w:hAnsi="Rockwell" w:cs="Rockwell"/>
          <w:b/>
          <w:sz w:val="40"/>
          <w14:shadow w14:blurRad="50800" w14:dist="38100" w14:dir="2700000" w14:sx="100000" w14:sy="100000" w14:kx="0" w14:ky="0" w14:algn="tl">
            <w14:srgbClr w14:val="000000">
              <w14:alpha w14:val="60000"/>
            </w14:srgbClr>
          </w14:shadow>
        </w:rPr>
        <w:t>Pour</w:t>
      </w:r>
      <w:r w:rsidR="00AB571E" w:rsidRPr="00AB571E">
        <w:rPr>
          <w:rFonts w:ascii="Rockwell" w:hAnsi="Rockwell" w:cs="Rockwell"/>
          <w:b/>
          <w:sz w:val="40"/>
          <w14:shadow w14:blurRad="50800" w14:dist="38100" w14:dir="2700000" w14:sx="100000" w14:sy="100000" w14:kx="0" w14:ky="0" w14:algn="tl">
            <w14:srgbClr w14:val="000000">
              <w14:alpha w14:val="60000"/>
            </w14:srgbClr>
          </w14:shadow>
        </w:rPr>
        <w:t xml:space="preserve"> 20</w:t>
      </w:r>
      <w:r w:rsidR="00AB571E">
        <w:rPr>
          <w:rFonts w:ascii="Rockwell" w:hAnsi="Rockwell" w:cs="Rockwell"/>
          <w:b/>
          <w:sz w:val="40"/>
          <w14:shadow w14:blurRad="50800" w14:dist="38100" w14:dir="2700000" w14:sx="100000" w14:sy="100000" w14:kx="0" w14:ky="0" w14:algn="tl">
            <w14:srgbClr w14:val="000000">
              <w14:alpha w14:val="60000"/>
            </w14:srgbClr>
          </w14:shadow>
        </w:rPr>
        <w:t>21</w:t>
      </w:r>
      <w:r w:rsidR="00AB571E" w:rsidRPr="00AB571E">
        <w:rPr>
          <w:rFonts w:ascii="Rockwell" w:hAnsi="Rockwell" w:cs="Rockwell"/>
          <w:b/>
          <w:sz w:val="40"/>
          <w14:shadow w14:blurRad="50800" w14:dist="38100" w14:dir="2700000" w14:sx="100000" w14:sy="100000" w14:kx="0" w14:ky="0" w14:algn="tl">
            <w14:srgbClr w14:val="000000">
              <w14:alpha w14:val="60000"/>
            </w14:srgbClr>
          </w14:shadow>
        </w:rPr>
        <w:t>, 202</w:t>
      </w:r>
      <w:r w:rsidR="00AB571E">
        <w:rPr>
          <w:rFonts w:ascii="Rockwell" w:hAnsi="Rockwell" w:cs="Rockwell"/>
          <w:b/>
          <w:sz w:val="40"/>
          <w14:shadow w14:blurRad="50800" w14:dist="38100" w14:dir="2700000" w14:sx="100000" w14:sy="100000" w14:kx="0" w14:ky="0" w14:algn="tl">
            <w14:srgbClr w14:val="000000">
              <w14:alpha w14:val="60000"/>
            </w14:srgbClr>
          </w14:shadow>
        </w:rPr>
        <w:t>2, 2023, 2024, 2025</w:t>
      </w:r>
      <w:r w:rsidR="00AB571E" w:rsidRPr="00AB571E">
        <w:rPr>
          <w:rFonts w:ascii="Rockwell" w:hAnsi="Rockwell" w:cs="Rockwell"/>
          <w:b/>
          <w:sz w:val="40"/>
          <w14:shadow w14:blurRad="50800" w14:dist="38100" w14:dir="2700000" w14:sx="100000" w14:sy="100000" w14:kx="0" w14:ky="0" w14:algn="tl">
            <w14:srgbClr w14:val="000000">
              <w14:alpha w14:val="60000"/>
            </w14:srgbClr>
          </w14:shadow>
        </w:rPr>
        <w:t xml:space="preserve"> et 202</w:t>
      </w:r>
      <w:r w:rsidR="00AB571E">
        <w:rPr>
          <w:rFonts w:ascii="Rockwell" w:hAnsi="Rockwell" w:cs="Rockwell"/>
          <w:b/>
          <w:sz w:val="40"/>
          <w14:shadow w14:blurRad="50800" w14:dist="38100" w14:dir="2700000" w14:sx="100000" w14:sy="100000" w14:kx="0" w14:ky="0" w14:algn="tl">
            <w14:srgbClr w14:val="000000">
              <w14:alpha w14:val="60000"/>
            </w14:srgbClr>
          </w14:shadow>
        </w:rPr>
        <w:t>6</w:t>
      </w:r>
    </w:p>
    <w:p w14:paraId="34EC3CA2" w14:textId="77777777" w:rsidR="00AB571E" w:rsidRPr="00AB571E" w:rsidRDefault="00AB571E" w:rsidP="00AB571E">
      <w:pPr>
        <w:pBdr>
          <w:top w:val="thickThinSmallGap" w:sz="24" w:space="1" w:color="000000" w:shadow="1"/>
          <w:left w:val="thickThinSmallGap" w:sz="24" w:space="4" w:color="000000" w:shadow="1"/>
          <w:bottom w:val="thickThinSmallGap" w:sz="24" w:space="1" w:color="000000" w:shadow="1"/>
          <w:right w:val="thickThinSmallGap" w:sz="24" w:space="4" w:color="000000" w:shadow="1"/>
        </w:pBdr>
        <w:shd w:val="clear" w:color="auto" w:fill="DFDFDF"/>
        <w:jc w:val="center"/>
        <w:rPr>
          <w:rFonts w:ascii="Rockwell" w:hAnsi="Rockwell" w:cs="Rockwell"/>
          <w:b/>
          <w:sz w:val="40"/>
          <w14:shadow w14:blurRad="50800" w14:dist="38100" w14:dir="2700000" w14:sx="100000" w14:sy="100000" w14:kx="0" w14:ky="0" w14:algn="tl">
            <w14:srgbClr w14:val="000000">
              <w14:alpha w14:val="60000"/>
            </w14:srgbClr>
          </w14:shadow>
        </w:rPr>
      </w:pPr>
    </w:p>
    <w:p w14:paraId="65DEEC50" w14:textId="77777777" w:rsidR="00AB571E" w:rsidRDefault="00AB571E" w:rsidP="00AB571E">
      <w:pPr>
        <w:pBdr>
          <w:top w:val="thickThinSmallGap" w:sz="24" w:space="1" w:color="000000" w:shadow="1"/>
          <w:left w:val="thickThinSmallGap" w:sz="24" w:space="4" w:color="000000" w:shadow="1"/>
          <w:bottom w:val="thickThinSmallGap" w:sz="24" w:space="1" w:color="000000" w:shadow="1"/>
          <w:right w:val="thickThinSmallGap" w:sz="24" w:space="4" w:color="000000" w:shadow="1"/>
        </w:pBdr>
        <w:shd w:val="clear" w:color="auto" w:fill="DFDFDF"/>
        <w:jc w:val="center"/>
      </w:pPr>
      <w:r w:rsidRPr="00AB571E">
        <w:rPr>
          <w:rFonts w:ascii="Rockwell" w:hAnsi="Rockwell" w:cs="Rockwell"/>
          <w:b/>
          <w:sz w:val="40"/>
          <w14:shadow w14:blurRad="50800" w14:dist="38100" w14:dir="2700000" w14:sx="100000" w14:sy="100000" w14:kx="0" w14:ky="0" w14:algn="tl">
            <w14:srgbClr w14:val="000000">
              <w14:alpha w14:val="60000"/>
            </w14:srgbClr>
          </w14:shadow>
        </w:rPr>
        <w:t>CAHIER DES CHARGES</w:t>
      </w:r>
    </w:p>
    <w:p w14:paraId="341CB49F" w14:textId="77777777" w:rsidR="00AB571E" w:rsidRPr="00AB571E" w:rsidRDefault="00AB571E" w:rsidP="00AB571E">
      <w:pPr>
        <w:pBdr>
          <w:top w:val="thickThinSmallGap" w:sz="24" w:space="1" w:color="000000" w:shadow="1"/>
          <w:left w:val="thickThinSmallGap" w:sz="24" w:space="4" w:color="000000" w:shadow="1"/>
          <w:bottom w:val="thickThinSmallGap" w:sz="24" w:space="1" w:color="000000" w:shadow="1"/>
          <w:right w:val="thickThinSmallGap" w:sz="24" w:space="4" w:color="000000" w:shadow="1"/>
        </w:pBdr>
        <w:shd w:val="clear" w:color="auto" w:fill="DFDFDF"/>
        <w:jc w:val="center"/>
        <w:rPr>
          <w:rFonts w:ascii="Rockwell" w:hAnsi="Rockwell" w:cs="Rockwell"/>
          <w:b/>
          <w:sz w:val="24"/>
          <w14:shadow w14:blurRad="50800" w14:dist="38100" w14:dir="2700000" w14:sx="100000" w14:sy="100000" w14:kx="0" w14:ky="0" w14:algn="tl">
            <w14:srgbClr w14:val="000000">
              <w14:alpha w14:val="60000"/>
            </w14:srgbClr>
          </w14:shadow>
        </w:rPr>
      </w:pPr>
    </w:p>
    <w:p w14:paraId="4C49FF65" w14:textId="77777777" w:rsidR="00AB571E" w:rsidRPr="00AB571E" w:rsidRDefault="00AB571E" w:rsidP="00AB571E">
      <w:pPr>
        <w:rPr>
          <w:rFonts w:ascii="Rockwell" w:hAnsi="Rockwell" w:cs="Rockwell"/>
          <w:b/>
          <w:sz w:val="24"/>
          <w14:shadow w14:blurRad="50800" w14:dist="38100" w14:dir="2700000" w14:sx="100000" w14:sy="100000" w14:kx="0" w14:ky="0" w14:algn="tl">
            <w14:srgbClr w14:val="000000">
              <w14:alpha w14:val="60000"/>
            </w14:srgbClr>
          </w14:shadow>
        </w:rPr>
      </w:pPr>
    </w:p>
    <w:p w14:paraId="0A660DAB" w14:textId="77777777" w:rsidR="00AB571E" w:rsidRDefault="00AB571E" w:rsidP="00AE25C5">
      <w:pPr>
        <w:jc w:val="both"/>
        <w:rPr>
          <w:rFonts w:cstheme="minorHAnsi"/>
          <w:b/>
          <w:bCs/>
        </w:rPr>
      </w:pPr>
    </w:p>
    <w:p w14:paraId="434BBC15" w14:textId="01C5554D" w:rsidR="00C05C97" w:rsidRPr="00C66D70" w:rsidRDefault="00C66D70" w:rsidP="00AE25C5">
      <w:pPr>
        <w:jc w:val="both"/>
        <w:rPr>
          <w:rFonts w:cstheme="minorHAnsi"/>
          <w:b/>
          <w:bCs/>
        </w:rPr>
      </w:pPr>
      <w:r w:rsidRPr="00C66D70">
        <w:rPr>
          <w:rFonts w:cstheme="minorHAnsi"/>
          <w:b/>
          <w:bCs/>
        </w:rPr>
        <w:lastRenderedPageBreak/>
        <w:t>PREAMBULE</w:t>
      </w:r>
    </w:p>
    <w:p w14:paraId="43104256" w14:textId="3D77F5C0" w:rsidR="00112A2F" w:rsidRPr="00C20869" w:rsidRDefault="00112A2F" w:rsidP="00AE25C5">
      <w:pPr>
        <w:ind w:left="426"/>
        <w:jc w:val="both"/>
        <w:rPr>
          <w:rFonts w:cstheme="minorHAnsi"/>
        </w:rPr>
      </w:pPr>
      <w:r w:rsidRPr="00C20869">
        <w:rPr>
          <w:rFonts w:cstheme="minorHAnsi"/>
        </w:rPr>
        <w:t>La ville d’Hendaye entend conférer un droit d’occupation temporaire du domaine public (AOT), à un commerce de vente de produits alimentaires. Il est rappelé que</w:t>
      </w:r>
      <w:r w:rsidR="00D975D0">
        <w:rPr>
          <w:rFonts w:cstheme="minorHAnsi"/>
        </w:rPr>
        <w:t xml:space="preserve"> les modalités d’exploitation son</w:t>
      </w:r>
      <w:r w:rsidRPr="00C20869">
        <w:rPr>
          <w:rFonts w:cstheme="minorHAnsi"/>
        </w:rPr>
        <w:t>t rattaché</w:t>
      </w:r>
      <w:r w:rsidR="00D975D0">
        <w:rPr>
          <w:rFonts w:cstheme="minorHAnsi"/>
        </w:rPr>
        <w:t>es</w:t>
      </w:r>
      <w:r w:rsidRPr="00C20869">
        <w:rPr>
          <w:rFonts w:cstheme="minorHAnsi"/>
        </w:rPr>
        <w:t xml:space="preserve"> </w:t>
      </w:r>
      <w:r w:rsidR="00C71EA7" w:rsidRPr="00C20869">
        <w:rPr>
          <w:rFonts w:cstheme="minorHAnsi"/>
        </w:rPr>
        <w:t>au</w:t>
      </w:r>
      <w:r w:rsidRPr="00C20869">
        <w:rPr>
          <w:rFonts w:cstheme="minorHAnsi"/>
        </w:rPr>
        <w:t xml:space="preserve"> présent cahier des charges</w:t>
      </w:r>
      <w:r w:rsidR="00C71EA7" w:rsidRPr="00C20869">
        <w:rPr>
          <w:rFonts w:cstheme="minorHAnsi"/>
        </w:rPr>
        <w:t xml:space="preserve"> et l</w:t>
      </w:r>
      <w:r w:rsidRPr="00C20869">
        <w:rPr>
          <w:rFonts w:cstheme="minorHAnsi"/>
        </w:rPr>
        <w:t>es obligations du délégataire, qui sont détaillées ci-après, participent à l’image de la ville, dans l’intérêt du développement économique et touristique de la Commune.</w:t>
      </w:r>
    </w:p>
    <w:p w14:paraId="4D994E53" w14:textId="498209E0" w:rsidR="00112A2F" w:rsidRDefault="00112A2F" w:rsidP="00AE25C5">
      <w:pPr>
        <w:jc w:val="both"/>
        <w:rPr>
          <w:rFonts w:cstheme="minorHAnsi"/>
          <w:b/>
          <w:bCs/>
          <w:u w:val="single"/>
        </w:rPr>
      </w:pPr>
      <w:r w:rsidRPr="00C20869">
        <w:rPr>
          <w:rFonts w:cstheme="minorHAnsi"/>
          <w:b/>
          <w:bCs/>
          <w:u w:val="single"/>
        </w:rPr>
        <w:t>ARTICLE 1</w:t>
      </w:r>
      <w:r w:rsidR="00A24712" w:rsidRPr="00C20869">
        <w:rPr>
          <w:rFonts w:cstheme="minorHAnsi"/>
          <w:b/>
          <w:bCs/>
          <w:u w:val="single"/>
        </w:rPr>
        <w:t xml:space="preserve"> – OBJET ET DURÉE DE L’AOT</w:t>
      </w:r>
    </w:p>
    <w:p w14:paraId="50386121" w14:textId="0CFFF6FA" w:rsidR="00AE25C5" w:rsidRPr="00AE25C5" w:rsidRDefault="00AE25C5" w:rsidP="00AE25C5">
      <w:pPr>
        <w:pStyle w:val="Paragraphedeliste"/>
        <w:numPr>
          <w:ilvl w:val="0"/>
          <w:numId w:val="11"/>
        </w:numPr>
        <w:jc w:val="both"/>
        <w:rPr>
          <w:rFonts w:cstheme="minorHAnsi"/>
          <w:b/>
          <w:bCs/>
        </w:rPr>
      </w:pPr>
      <w:r w:rsidRPr="00AE25C5">
        <w:rPr>
          <w:rFonts w:cstheme="minorHAnsi"/>
          <w:shd w:val="clear" w:color="auto" w:fill="FFFFFF" w:themeFill="background1"/>
        </w:rPr>
        <w:t>Cette autorisation concerne la cabane n°5, cabane fournie et installée par la Commune,</w:t>
      </w:r>
      <w:r w:rsidRPr="00AE25C5">
        <w:rPr>
          <w:rFonts w:cstheme="minorHAnsi"/>
        </w:rPr>
        <w:t xml:space="preserve"> située à hauteur du n°1 Boulevard de la MER, composé d’un bâtiment vide de tout équipement de 1</w:t>
      </w:r>
      <w:r w:rsidR="0033400A">
        <w:rPr>
          <w:rFonts w:cstheme="minorHAnsi"/>
        </w:rPr>
        <w:t>6</w:t>
      </w:r>
      <w:r w:rsidRPr="00AE25C5">
        <w:rPr>
          <w:rFonts w:cstheme="minorHAnsi"/>
        </w:rPr>
        <w:t>m².</w:t>
      </w:r>
    </w:p>
    <w:p w14:paraId="400EC9CB" w14:textId="77777777" w:rsidR="00AE25C5" w:rsidRDefault="00AE25C5" w:rsidP="00AE25C5">
      <w:pPr>
        <w:pStyle w:val="Paragraphedeliste"/>
        <w:ind w:left="426"/>
        <w:jc w:val="both"/>
        <w:rPr>
          <w:rFonts w:cstheme="minorHAnsi"/>
          <w:shd w:val="clear" w:color="auto" w:fill="FFFFFF" w:themeFill="background1"/>
        </w:rPr>
      </w:pPr>
    </w:p>
    <w:p w14:paraId="7CD4646A" w14:textId="628BDEAD" w:rsidR="004A03EE" w:rsidRPr="00AE25C5" w:rsidRDefault="004A03EE" w:rsidP="00AE25C5">
      <w:pPr>
        <w:pStyle w:val="Paragraphedeliste"/>
        <w:numPr>
          <w:ilvl w:val="0"/>
          <w:numId w:val="11"/>
        </w:numPr>
        <w:jc w:val="both"/>
        <w:rPr>
          <w:rFonts w:cstheme="minorHAnsi"/>
        </w:rPr>
      </w:pPr>
      <w:r w:rsidRPr="00AE25C5">
        <w:rPr>
          <w:rFonts w:cstheme="minorHAnsi"/>
        </w:rPr>
        <w:t>Ce bâtiment respecte la réglementation en vigueur et notamment :</w:t>
      </w:r>
    </w:p>
    <w:p w14:paraId="2E186FA5" w14:textId="207DE3B7" w:rsidR="004A03EE" w:rsidRPr="00C20869" w:rsidRDefault="006224FC" w:rsidP="00AE25C5">
      <w:pPr>
        <w:pStyle w:val="Paragraphedeliste"/>
        <w:numPr>
          <w:ilvl w:val="0"/>
          <w:numId w:val="4"/>
        </w:numPr>
        <w:jc w:val="both"/>
        <w:rPr>
          <w:rFonts w:cstheme="minorHAnsi"/>
        </w:rPr>
      </w:pPr>
      <w:r w:rsidRPr="00C20869">
        <w:rPr>
          <w:rFonts w:cstheme="minorHAnsi"/>
        </w:rPr>
        <w:t>Alimentation</w:t>
      </w:r>
      <w:r w:rsidR="004A03EE" w:rsidRPr="00C20869">
        <w:rPr>
          <w:rFonts w:cstheme="minorHAnsi"/>
        </w:rPr>
        <w:t xml:space="preserve"> en eau potable par le réseau d’adduction d’eau potable, </w:t>
      </w:r>
    </w:p>
    <w:p w14:paraId="6BC6A2F7" w14:textId="3E2342CC" w:rsidR="004A03EE" w:rsidRPr="00C20869" w:rsidRDefault="006224FC" w:rsidP="00AE25C5">
      <w:pPr>
        <w:pStyle w:val="Paragraphedeliste"/>
        <w:numPr>
          <w:ilvl w:val="0"/>
          <w:numId w:val="4"/>
        </w:numPr>
        <w:jc w:val="both"/>
        <w:rPr>
          <w:rFonts w:cstheme="minorHAnsi"/>
        </w:rPr>
      </w:pPr>
      <w:r w:rsidRPr="00C20869">
        <w:rPr>
          <w:rFonts w:cstheme="minorHAnsi"/>
        </w:rPr>
        <w:t>Évacuation</w:t>
      </w:r>
      <w:r w:rsidR="004A03EE" w:rsidRPr="00C20869">
        <w:rPr>
          <w:rFonts w:cstheme="minorHAnsi"/>
        </w:rPr>
        <w:t xml:space="preserve"> des eaux résiduaires hors du domaine public par raccordement au réseau d’assainissement. Il est précisé que le réseau d’assainissement (partie communale) mis à disposition de l’exploitant doit être maintenu en bon état de fonctionnement par ce dernier.</w:t>
      </w:r>
    </w:p>
    <w:p w14:paraId="66370A9A" w14:textId="79E8FC77" w:rsidR="004A03EE" w:rsidRPr="00C20869" w:rsidRDefault="006224FC" w:rsidP="00AE25C5">
      <w:pPr>
        <w:pStyle w:val="Paragraphedeliste"/>
        <w:numPr>
          <w:ilvl w:val="0"/>
          <w:numId w:val="4"/>
        </w:numPr>
        <w:jc w:val="both"/>
        <w:rPr>
          <w:rFonts w:cstheme="minorHAnsi"/>
        </w:rPr>
      </w:pPr>
      <w:r w:rsidRPr="00C20869">
        <w:rPr>
          <w:rFonts w:cstheme="minorHAnsi"/>
        </w:rPr>
        <w:t>Alimentation</w:t>
      </w:r>
      <w:r w:rsidR="004A03EE" w:rsidRPr="00C20869">
        <w:rPr>
          <w:rFonts w:cstheme="minorHAnsi"/>
        </w:rPr>
        <w:t xml:space="preserve"> électrique par raccordement au réseau électrique public,</w:t>
      </w:r>
    </w:p>
    <w:p w14:paraId="24105C4D" w14:textId="46367917" w:rsidR="004A03EE" w:rsidRPr="00C20869" w:rsidRDefault="006224FC" w:rsidP="00AE25C5">
      <w:pPr>
        <w:pStyle w:val="Paragraphedeliste"/>
        <w:numPr>
          <w:ilvl w:val="0"/>
          <w:numId w:val="4"/>
        </w:numPr>
        <w:jc w:val="both"/>
        <w:rPr>
          <w:rFonts w:cstheme="minorHAnsi"/>
        </w:rPr>
      </w:pPr>
      <w:r w:rsidRPr="00C20869">
        <w:rPr>
          <w:rFonts w:cstheme="minorHAnsi"/>
        </w:rPr>
        <w:t>Respect</w:t>
      </w:r>
      <w:r w:rsidR="004A03EE" w:rsidRPr="00C20869">
        <w:rPr>
          <w:rFonts w:cstheme="minorHAnsi"/>
        </w:rPr>
        <w:t xml:space="preserve"> des normes légales et réglementaires liées à l’activité de restauration (normes d’hygiène, sanitaires, de transport et de stockage de denrées alimentaires…).</w:t>
      </w:r>
    </w:p>
    <w:p w14:paraId="65F9CE0E" w14:textId="0CB99F42" w:rsidR="004A03EE" w:rsidRPr="00B465E3" w:rsidRDefault="004A03EE" w:rsidP="00AE25C5">
      <w:pPr>
        <w:pStyle w:val="Paragraphedeliste"/>
        <w:numPr>
          <w:ilvl w:val="0"/>
          <w:numId w:val="4"/>
        </w:numPr>
        <w:jc w:val="both"/>
        <w:rPr>
          <w:rFonts w:cstheme="minorHAnsi"/>
        </w:rPr>
      </w:pPr>
      <w:r w:rsidRPr="00B465E3">
        <w:rPr>
          <w:rFonts w:cstheme="minorHAnsi"/>
        </w:rPr>
        <w:t>Pré-raccordement au réseau de télécommunication</w:t>
      </w:r>
      <w:r w:rsidR="00B465E3">
        <w:rPr>
          <w:rFonts w:cstheme="minorHAnsi"/>
        </w:rPr>
        <w:t>.</w:t>
      </w:r>
    </w:p>
    <w:p w14:paraId="165B586A" w14:textId="77777777" w:rsidR="004A03EE" w:rsidRPr="00C20869" w:rsidRDefault="004A03EE" w:rsidP="00AE25C5">
      <w:pPr>
        <w:pStyle w:val="Paragraphedeliste"/>
        <w:ind w:left="786"/>
        <w:jc w:val="both"/>
        <w:rPr>
          <w:rFonts w:cstheme="minorHAnsi"/>
        </w:rPr>
      </w:pPr>
    </w:p>
    <w:p w14:paraId="76784D00" w14:textId="247A306C" w:rsidR="00A24712" w:rsidRPr="00C20869" w:rsidRDefault="00A24712" w:rsidP="00AE25C5">
      <w:pPr>
        <w:pStyle w:val="Paragraphedeliste"/>
        <w:numPr>
          <w:ilvl w:val="0"/>
          <w:numId w:val="11"/>
        </w:numPr>
        <w:ind w:left="284" w:firstLine="142"/>
        <w:jc w:val="both"/>
        <w:rPr>
          <w:rFonts w:cstheme="minorHAnsi"/>
        </w:rPr>
      </w:pPr>
      <w:r w:rsidRPr="00C20869">
        <w:rPr>
          <w:rFonts w:cstheme="minorHAnsi"/>
        </w:rPr>
        <w:t>L</w:t>
      </w:r>
      <w:r w:rsidR="00B947D1" w:rsidRPr="00C20869">
        <w:rPr>
          <w:rFonts w:cstheme="minorHAnsi"/>
        </w:rPr>
        <w:t>’</w:t>
      </w:r>
      <w:r w:rsidRPr="00C20869">
        <w:rPr>
          <w:rFonts w:cstheme="minorHAnsi"/>
        </w:rPr>
        <w:t xml:space="preserve">attributaire de </w:t>
      </w:r>
      <w:r w:rsidR="00B947D1" w:rsidRPr="00C20869">
        <w:rPr>
          <w:rFonts w:cstheme="minorHAnsi"/>
        </w:rPr>
        <w:t>l’</w:t>
      </w:r>
      <w:r w:rsidRPr="00C20869">
        <w:rPr>
          <w:rFonts w:cstheme="minorHAnsi"/>
        </w:rPr>
        <w:t xml:space="preserve">AOT </w:t>
      </w:r>
      <w:r w:rsidR="00B947D1" w:rsidRPr="00C20869">
        <w:rPr>
          <w:rFonts w:cstheme="minorHAnsi"/>
        </w:rPr>
        <w:t xml:space="preserve">aura la possibilité d’installer une terrasse. L’emprise de la terrasse sera inférieure ou égale à l’emprise de la cabane elle-même, soit </w:t>
      </w:r>
      <w:r w:rsidR="006224FC" w:rsidRPr="006224FC">
        <w:rPr>
          <w:rFonts w:cstheme="minorHAnsi"/>
        </w:rPr>
        <w:t>1</w:t>
      </w:r>
      <w:r w:rsidR="0033400A">
        <w:rPr>
          <w:rFonts w:cstheme="minorHAnsi"/>
        </w:rPr>
        <w:t>6</w:t>
      </w:r>
      <w:r w:rsidR="00B947D1" w:rsidRPr="006224FC">
        <w:rPr>
          <w:rFonts w:cstheme="minorHAnsi"/>
        </w:rPr>
        <w:t>m².</w:t>
      </w:r>
    </w:p>
    <w:p w14:paraId="0F6FBF81" w14:textId="2AE9D70D" w:rsidR="0041540F" w:rsidRPr="00C20869" w:rsidRDefault="0041540F" w:rsidP="00AE25C5">
      <w:pPr>
        <w:ind w:left="284" w:firstLine="142"/>
        <w:jc w:val="both"/>
        <w:rPr>
          <w:rFonts w:cstheme="minorHAnsi"/>
        </w:rPr>
      </w:pPr>
      <w:r w:rsidRPr="00C20869">
        <w:rPr>
          <w:rFonts w:cstheme="minorHAnsi"/>
        </w:rPr>
        <w:t xml:space="preserve">L’occupation du domaine public pour l’installation d’une terrasse donnera lieu au versement d’une redevance, selon les tarifs délibérés annuellement en Conseil Municipal (en sus de la redevance fixée à l’article </w:t>
      </w:r>
      <w:r w:rsidR="00C20869" w:rsidRPr="00C20869">
        <w:rPr>
          <w:rFonts w:cstheme="minorHAnsi"/>
        </w:rPr>
        <w:t>11</w:t>
      </w:r>
      <w:r w:rsidRPr="00C20869">
        <w:rPr>
          <w:rFonts w:cstheme="minorHAnsi"/>
        </w:rPr>
        <w:t xml:space="preserve"> du présent cahier des charges).</w:t>
      </w:r>
    </w:p>
    <w:p w14:paraId="4705CAFB" w14:textId="4C0281B4" w:rsidR="0041540F" w:rsidRPr="00C20869" w:rsidRDefault="007567F2" w:rsidP="00AE25C5">
      <w:pPr>
        <w:pStyle w:val="Paragraphedeliste"/>
        <w:numPr>
          <w:ilvl w:val="0"/>
          <w:numId w:val="11"/>
        </w:numPr>
        <w:jc w:val="both"/>
        <w:rPr>
          <w:rFonts w:cstheme="minorHAnsi"/>
        </w:rPr>
      </w:pPr>
      <w:r w:rsidRPr="00C20869">
        <w:rPr>
          <w:rFonts w:cstheme="minorHAnsi"/>
        </w:rPr>
        <w:t>Denrées alimentai</w:t>
      </w:r>
      <w:r w:rsidR="004438D1" w:rsidRPr="00C20869">
        <w:rPr>
          <w:rFonts w:cstheme="minorHAnsi"/>
        </w:rPr>
        <w:t>r</w:t>
      </w:r>
      <w:r w:rsidRPr="00C20869">
        <w:rPr>
          <w:rFonts w:cstheme="minorHAnsi"/>
        </w:rPr>
        <w:t>es</w:t>
      </w:r>
    </w:p>
    <w:p w14:paraId="1736BD6B" w14:textId="3AA77C6D" w:rsidR="0079685C" w:rsidRPr="00E41DF0" w:rsidRDefault="0079685C" w:rsidP="00AE25C5">
      <w:pPr>
        <w:pStyle w:val="Paragraphedeliste"/>
        <w:ind w:left="284"/>
        <w:jc w:val="both"/>
        <w:rPr>
          <w:rFonts w:cstheme="minorHAnsi"/>
        </w:rPr>
      </w:pPr>
      <w:r w:rsidRPr="00E41DF0">
        <w:rPr>
          <w:rFonts w:cstheme="minorHAnsi"/>
        </w:rPr>
        <w:t xml:space="preserve">La fréquentation touristique de la Commune est essentiellement familiale. Ainsi, le sous-traitant doit prévoir une offre adaptée à cette clientèle. </w:t>
      </w:r>
    </w:p>
    <w:p w14:paraId="5FF0F70C" w14:textId="6328CC70" w:rsidR="005E3311" w:rsidRPr="00E41DF0" w:rsidRDefault="005E3311" w:rsidP="00AE25C5">
      <w:pPr>
        <w:pStyle w:val="Paragraphedeliste"/>
        <w:tabs>
          <w:tab w:val="left" w:pos="283"/>
          <w:tab w:val="left" w:pos="285"/>
        </w:tabs>
        <w:suppressAutoHyphens/>
        <w:ind w:left="284"/>
        <w:jc w:val="both"/>
        <w:rPr>
          <w:rFonts w:cstheme="minorHAnsi"/>
        </w:rPr>
      </w:pPr>
      <w:r w:rsidRPr="00E41DF0">
        <w:rPr>
          <w:rFonts w:cstheme="minorHAnsi"/>
          <w:color w:val="000000"/>
        </w:rPr>
        <w:t>L’activité</w:t>
      </w:r>
      <w:r w:rsidRPr="00E41DF0">
        <w:rPr>
          <w:rFonts w:cstheme="minorHAnsi"/>
        </w:rPr>
        <w:t xml:space="preserve"> autorisée sur cet emplacement est celle de vente de produits alimentaires destinés à une restauration légère. La liste des produits autorisés à la vente est limitée comme suit : sandwichs (et ses dérivés : paninis, hamburgers), barquettes de frites</w:t>
      </w:r>
      <w:r w:rsidRPr="00E41DF0">
        <w:rPr>
          <w:rFonts w:cstheme="minorHAnsi"/>
          <w:color w:val="000000"/>
        </w:rPr>
        <w:t xml:space="preserve">, salades variées, pâtisseries, churros (beignets allongés), glaces et sorbets, confiseries, </w:t>
      </w:r>
      <w:r w:rsidRPr="00E41DF0">
        <w:rPr>
          <w:rFonts w:cstheme="minorHAnsi"/>
          <w:color w:val="000000"/>
          <w:u w:val="single"/>
        </w:rPr>
        <w:t>boissons sans alcool</w:t>
      </w:r>
      <w:r w:rsidRPr="00E41DF0">
        <w:rPr>
          <w:rFonts w:cstheme="minorHAnsi"/>
          <w:color w:val="000000"/>
        </w:rPr>
        <w:t>.</w:t>
      </w:r>
    </w:p>
    <w:p w14:paraId="2D800BAB" w14:textId="06782870" w:rsidR="004438D1" w:rsidRPr="00C20869" w:rsidRDefault="005E3311" w:rsidP="00AE25C5">
      <w:pPr>
        <w:pStyle w:val="Paragraphedeliste"/>
        <w:ind w:left="284"/>
        <w:jc w:val="both"/>
        <w:rPr>
          <w:rFonts w:cstheme="minorHAnsi"/>
          <w:color w:val="000000"/>
        </w:rPr>
      </w:pPr>
      <w:r w:rsidRPr="00E41DF0">
        <w:rPr>
          <w:rFonts w:cstheme="minorHAnsi"/>
          <w:color w:val="000000"/>
        </w:rPr>
        <w:t xml:space="preserve">À partir de 19 heures, les denrées et les boissons autorisées à la vente seront celles autorisées par la détention d’une </w:t>
      </w:r>
      <w:r w:rsidRPr="00E41DF0">
        <w:rPr>
          <w:rFonts w:cstheme="minorHAnsi"/>
          <w:color w:val="000000"/>
          <w:u w:val="single"/>
        </w:rPr>
        <w:t>petite-licence restaurant</w:t>
      </w:r>
      <w:r w:rsidRPr="00E41DF0">
        <w:rPr>
          <w:rFonts w:cstheme="minorHAnsi"/>
          <w:color w:val="000000"/>
        </w:rPr>
        <w:t>. Le bénéficiaire de l’AOT pour cette cabane devra donc faire une demande de petite-licence restaurant aux services municipaux</w:t>
      </w:r>
      <w:r w:rsidR="004A03EE" w:rsidRPr="00E41DF0">
        <w:rPr>
          <w:rFonts w:cstheme="minorHAnsi"/>
          <w:color w:val="000000"/>
        </w:rPr>
        <w:t>.</w:t>
      </w:r>
      <w:r w:rsidR="00E43BBB" w:rsidRPr="00E41DF0">
        <w:rPr>
          <w:rFonts w:cstheme="minorHAnsi"/>
          <w:color w:val="000000"/>
        </w:rPr>
        <w:t xml:space="preserve"> Il sera autorisé à ouvrir jusqu’à 2 heures maximum. (À 2 heures, l’établissement sera fermé et la terrasse sera rangée). Il pourra cependant demander des dérogations exceptionnelles aux services de l’État pour l’organisation par exemple de soirées pendant la saison estivale (exemple : 14 juillet, 15août).</w:t>
      </w:r>
    </w:p>
    <w:p w14:paraId="0402A3A8" w14:textId="5C077E45" w:rsidR="00C20869" w:rsidRDefault="00C20869" w:rsidP="00AE25C5">
      <w:pPr>
        <w:jc w:val="both"/>
        <w:rPr>
          <w:rFonts w:cstheme="minorHAnsi"/>
          <w:color w:val="000000"/>
        </w:rPr>
      </w:pPr>
    </w:p>
    <w:p w14:paraId="26841524" w14:textId="342BCFCF" w:rsidR="00AE25C5" w:rsidRDefault="00AE25C5" w:rsidP="00AE25C5">
      <w:pPr>
        <w:jc w:val="both"/>
        <w:rPr>
          <w:rFonts w:cstheme="minorHAnsi"/>
          <w:color w:val="000000"/>
        </w:rPr>
      </w:pPr>
    </w:p>
    <w:p w14:paraId="0FD007DA" w14:textId="77777777" w:rsidR="00AE25C5" w:rsidRPr="00AE25C5" w:rsidRDefault="00AE25C5" w:rsidP="00AE25C5">
      <w:pPr>
        <w:jc w:val="both"/>
        <w:rPr>
          <w:rFonts w:cstheme="minorHAnsi"/>
          <w:color w:val="000000"/>
        </w:rPr>
      </w:pPr>
    </w:p>
    <w:p w14:paraId="2FFE3BA0" w14:textId="77777777" w:rsidR="001919E9" w:rsidRDefault="001919E9" w:rsidP="001919E9">
      <w:pPr>
        <w:pStyle w:val="Paragraphedeliste"/>
        <w:numPr>
          <w:ilvl w:val="0"/>
          <w:numId w:val="16"/>
        </w:numPr>
        <w:spacing w:line="252" w:lineRule="auto"/>
        <w:ind w:left="284" w:firstLine="142"/>
        <w:jc w:val="both"/>
      </w:pPr>
      <w:r>
        <w:lastRenderedPageBreak/>
        <w:t>Le bénéficiaire de l’AOT s’engage à ouvrir son commerce du début des vacances d’avril à la fin des vacances d’automne. Pour la saison 2021, il devra commencer son activité au 1</w:t>
      </w:r>
      <w:r>
        <w:rPr>
          <w:vertAlign w:val="superscript"/>
        </w:rPr>
        <w:t>ER</w:t>
      </w:r>
      <w:r>
        <w:t xml:space="preserve"> Juillet 2021, au plus tard ; une tolérance pour une activité dégradée lui sera accordée sur une partie de cette saison, au vu des délais nécessaires pour l’installation des matériels indispensables à l’activité. </w:t>
      </w:r>
    </w:p>
    <w:p w14:paraId="757B0999" w14:textId="77777777" w:rsidR="00255518" w:rsidRPr="007F38F1" w:rsidRDefault="00255518" w:rsidP="00AE25C5">
      <w:pPr>
        <w:pStyle w:val="Paragraphedeliste"/>
        <w:jc w:val="both"/>
        <w:rPr>
          <w:rFonts w:cstheme="minorHAnsi"/>
          <w:bCs/>
        </w:rPr>
      </w:pPr>
    </w:p>
    <w:p w14:paraId="354F5CFD" w14:textId="6CF80ACE" w:rsidR="00B87E0C" w:rsidRPr="007F38F1" w:rsidRDefault="00B87E0C" w:rsidP="00AB571E">
      <w:pPr>
        <w:pStyle w:val="Paragraphedeliste"/>
        <w:numPr>
          <w:ilvl w:val="0"/>
          <w:numId w:val="9"/>
        </w:numPr>
        <w:tabs>
          <w:tab w:val="left" w:pos="285"/>
        </w:tabs>
        <w:suppressAutoHyphens/>
        <w:ind w:left="284" w:firstLine="131"/>
        <w:jc w:val="both"/>
        <w:rPr>
          <w:rFonts w:cstheme="minorHAnsi"/>
        </w:rPr>
      </w:pPr>
      <w:r w:rsidRPr="007F38F1">
        <w:rPr>
          <w:rFonts w:cstheme="minorHAnsi"/>
        </w:rPr>
        <w:t>L’autorisation d’occupation du domaine public est accordée pour les années 2021, 2022, 2023, 20</w:t>
      </w:r>
      <w:r w:rsidR="00AB571E">
        <w:rPr>
          <w:rFonts w:cstheme="minorHAnsi"/>
        </w:rPr>
        <w:t>2</w:t>
      </w:r>
      <w:r w:rsidRPr="007F38F1">
        <w:rPr>
          <w:rFonts w:cstheme="minorHAnsi"/>
        </w:rPr>
        <w:t>4,2025 et 2026</w:t>
      </w:r>
    </w:p>
    <w:p w14:paraId="2A7BB8C5" w14:textId="77777777" w:rsidR="004A03EE" w:rsidRPr="00C20869" w:rsidRDefault="004A03EE" w:rsidP="00AE25C5">
      <w:pPr>
        <w:jc w:val="both"/>
        <w:rPr>
          <w:rFonts w:cstheme="minorHAnsi"/>
        </w:rPr>
      </w:pPr>
    </w:p>
    <w:p w14:paraId="2498693D" w14:textId="791F96F3" w:rsidR="004438D1" w:rsidRPr="00C20869" w:rsidRDefault="004438D1" w:rsidP="00AE25C5">
      <w:pPr>
        <w:jc w:val="both"/>
        <w:rPr>
          <w:rFonts w:cstheme="minorHAnsi"/>
          <w:b/>
          <w:bCs/>
          <w:u w:val="single"/>
        </w:rPr>
      </w:pPr>
      <w:r w:rsidRPr="00C20869">
        <w:rPr>
          <w:rFonts w:cstheme="minorHAnsi"/>
          <w:b/>
          <w:bCs/>
          <w:u w:val="single"/>
        </w:rPr>
        <w:t>ARTICLE 2 – CARACTÉRISTIQUES D</w:t>
      </w:r>
      <w:r w:rsidR="00AE25C5">
        <w:rPr>
          <w:rFonts w:cstheme="minorHAnsi"/>
          <w:b/>
          <w:bCs/>
          <w:u w:val="single"/>
        </w:rPr>
        <w:t xml:space="preserve">E </w:t>
      </w:r>
      <w:r w:rsidR="00DD78F8">
        <w:rPr>
          <w:rFonts w:cstheme="minorHAnsi"/>
          <w:b/>
          <w:bCs/>
          <w:u w:val="single"/>
        </w:rPr>
        <w:t>L’</w:t>
      </w:r>
      <w:r w:rsidR="00DD78F8" w:rsidRPr="00C20869">
        <w:rPr>
          <w:rFonts w:cstheme="minorHAnsi"/>
          <w:b/>
          <w:bCs/>
          <w:u w:val="single"/>
        </w:rPr>
        <w:t>AOT</w:t>
      </w:r>
    </w:p>
    <w:p w14:paraId="3CC3AF1A" w14:textId="1F2E2C06" w:rsidR="0051280F" w:rsidRPr="00C20869" w:rsidRDefault="0051280F" w:rsidP="00AB571E">
      <w:pPr>
        <w:pStyle w:val="Paragraphedeliste"/>
        <w:numPr>
          <w:ilvl w:val="0"/>
          <w:numId w:val="3"/>
        </w:numPr>
        <w:tabs>
          <w:tab w:val="left" w:pos="283"/>
        </w:tabs>
        <w:suppressAutoHyphens/>
        <w:ind w:left="284" w:firstLine="206"/>
        <w:jc w:val="both"/>
        <w:rPr>
          <w:rFonts w:cstheme="minorHAnsi"/>
        </w:rPr>
      </w:pPr>
      <w:r w:rsidRPr="00C20869">
        <w:rPr>
          <w:rFonts w:cstheme="minorHAnsi"/>
        </w:rPr>
        <w:t xml:space="preserve">Cet AOT est </w:t>
      </w:r>
      <w:r w:rsidRPr="00C20869">
        <w:rPr>
          <w:rFonts w:cstheme="minorHAnsi"/>
          <w:color w:val="000000"/>
        </w:rPr>
        <w:t>notamment</w:t>
      </w:r>
      <w:r w:rsidRPr="00C20869">
        <w:rPr>
          <w:rFonts w:cstheme="minorHAnsi"/>
          <w:color w:val="FF0000"/>
        </w:rPr>
        <w:t xml:space="preserve"> </w:t>
      </w:r>
      <w:r w:rsidRPr="00C20869">
        <w:rPr>
          <w:rFonts w:cstheme="minorHAnsi"/>
        </w:rPr>
        <w:t>régie par les articles L.2122-1 et suivants du Code Général de la Propriété des Personnes Publiques relatifs aux autorisations d’occupation temporaire du domaine public.</w:t>
      </w:r>
    </w:p>
    <w:p w14:paraId="3A2153B5" w14:textId="259AC937" w:rsidR="0051280F" w:rsidRPr="00C20869" w:rsidRDefault="0051280F" w:rsidP="00AE25C5">
      <w:pPr>
        <w:tabs>
          <w:tab w:val="left" w:pos="283"/>
        </w:tabs>
        <w:suppressAutoHyphens/>
        <w:ind w:left="283" w:hanging="283"/>
        <w:jc w:val="both"/>
        <w:rPr>
          <w:rFonts w:cstheme="minorHAnsi"/>
        </w:rPr>
      </w:pPr>
      <w:r w:rsidRPr="00C20869">
        <w:rPr>
          <w:rFonts w:cstheme="minorHAnsi"/>
        </w:rPr>
        <w:tab/>
        <w:t xml:space="preserve">Elle est délivrée </w:t>
      </w:r>
      <w:r w:rsidRPr="00C20869">
        <w:rPr>
          <w:rFonts w:cstheme="minorHAnsi"/>
          <w:u w:val="single"/>
        </w:rPr>
        <w:t>à titre précaire et révocable</w:t>
      </w:r>
      <w:r w:rsidRPr="00C20869">
        <w:rPr>
          <w:rFonts w:cstheme="minorHAnsi"/>
        </w:rPr>
        <w:t>.</w:t>
      </w:r>
    </w:p>
    <w:p w14:paraId="2B9529BC" w14:textId="56DB63D9" w:rsidR="0051280F" w:rsidRPr="00C20869" w:rsidRDefault="0051280F" w:rsidP="00AE25C5">
      <w:pPr>
        <w:tabs>
          <w:tab w:val="left" w:pos="283"/>
        </w:tabs>
        <w:suppressAutoHyphens/>
        <w:ind w:left="283" w:hanging="283"/>
        <w:jc w:val="both"/>
        <w:rPr>
          <w:rFonts w:cstheme="minorHAnsi"/>
        </w:rPr>
      </w:pPr>
      <w:r w:rsidRPr="00C20869">
        <w:rPr>
          <w:rFonts w:cstheme="minorHAnsi"/>
        </w:rPr>
        <w:tab/>
        <w:t>Le bénéficiaire de cet AOT ne pourra, en aucun cas, se prévaloir des dispositions sur la propriété commerciale ou d’une autre réglementation quelconque susceptible de conférer un droit au maintien dans les lieux et à l’occupation ou à quelque autre droit.</w:t>
      </w:r>
    </w:p>
    <w:p w14:paraId="146EE91E" w14:textId="77777777" w:rsidR="0051280F" w:rsidRPr="004203C8" w:rsidRDefault="0051280F" w:rsidP="00AE25C5">
      <w:pPr>
        <w:tabs>
          <w:tab w:val="left" w:pos="283"/>
        </w:tabs>
        <w:suppressAutoHyphens/>
        <w:ind w:left="283" w:hanging="283"/>
        <w:jc w:val="both"/>
        <w:rPr>
          <w:rFonts w:cstheme="minorHAnsi"/>
          <w:sz w:val="4"/>
          <w:szCs w:val="4"/>
        </w:rPr>
      </w:pPr>
    </w:p>
    <w:p w14:paraId="7DF1D2E0" w14:textId="52642E4F" w:rsidR="0051280F" w:rsidRPr="00C20869" w:rsidRDefault="0051280F" w:rsidP="00AB571E">
      <w:pPr>
        <w:tabs>
          <w:tab w:val="left" w:pos="283"/>
        </w:tabs>
        <w:suppressAutoHyphens/>
        <w:ind w:left="284" w:firstLine="142"/>
        <w:jc w:val="both"/>
        <w:rPr>
          <w:rFonts w:cstheme="minorHAnsi"/>
        </w:rPr>
      </w:pPr>
      <w:r w:rsidRPr="00C20869">
        <w:rPr>
          <w:rFonts w:cstheme="minorHAnsi"/>
        </w:rPr>
        <w:t xml:space="preserve">b) </w:t>
      </w:r>
      <w:r w:rsidRPr="00C20869">
        <w:rPr>
          <w:rFonts w:cstheme="minorHAnsi"/>
        </w:rPr>
        <w:tab/>
      </w:r>
      <w:r w:rsidR="000428A1" w:rsidRPr="00C20869">
        <w:rPr>
          <w:rFonts w:cstheme="minorHAnsi"/>
        </w:rPr>
        <w:t>L’autorisation</w:t>
      </w:r>
      <w:r w:rsidRPr="00C20869">
        <w:rPr>
          <w:rFonts w:cstheme="minorHAnsi"/>
        </w:rPr>
        <w:t xml:space="preserve"> d’occupation temporaire du domaine public est délivrée « intuitu personae », c’est-à-dire qu’elle est </w:t>
      </w:r>
      <w:r w:rsidRPr="00C20869">
        <w:rPr>
          <w:rFonts w:cstheme="minorHAnsi"/>
          <w:u w:val="single"/>
        </w:rPr>
        <w:t>personnelle</w:t>
      </w:r>
      <w:r w:rsidRPr="00C20869">
        <w:rPr>
          <w:rFonts w:cstheme="minorHAnsi"/>
        </w:rPr>
        <w:t>.</w:t>
      </w:r>
    </w:p>
    <w:p w14:paraId="4133D74F" w14:textId="5250E8EB" w:rsidR="0051280F" w:rsidRPr="00C20869" w:rsidRDefault="0051280F" w:rsidP="00AE25C5">
      <w:pPr>
        <w:tabs>
          <w:tab w:val="left" w:pos="284"/>
        </w:tabs>
        <w:suppressAutoHyphens/>
        <w:ind w:left="284"/>
        <w:jc w:val="both"/>
        <w:rPr>
          <w:rFonts w:cstheme="minorHAnsi"/>
        </w:rPr>
      </w:pPr>
      <w:r w:rsidRPr="00C20869">
        <w:rPr>
          <w:rFonts w:cstheme="minorHAnsi"/>
        </w:rPr>
        <w:t>Le bénéficiaire de l’AOT est tenu d’exploiter personnellement les activités décrites dans le présent cahier des charges.</w:t>
      </w:r>
    </w:p>
    <w:p w14:paraId="7A6C640C" w14:textId="1596DEFF" w:rsidR="0051280F" w:rsidRPr="00C20869" w:rsidRDefault="0051280F" w:rsidP="00AE25C5">
      <w:pPr>
        <w:tabs>
          <w:tab w:val="left" w:pos="284"/>
        </w:tabs>
        <w:suppressAutoHyphens/>
        <w:ind w:left="284"/>
        <w:jc w:val="both"/>
        <w:rPr>
          <w:rFonts w:cstheme="minorHAnsi"/>
        </w:rPr>
      </w:pPr>
      <w:r w:rsidRPr="00C20869">
        <w:rPr>
          <w:rFonts w:cstheme="minorHAnsi"/>
        </w:rPr>
        <w:t>L’AOT pourra être attribuée soit à une personne physique, soit à une personne morale. En cas de personne morale, l’attributaire de l’AOT devra, soit avoir constitué une société dédiée, soit identifier dans ses comptes, l’activité d’exploitation de la cabane.</w:t>
      </w:r>
    </w:p>
    <w:p w14:paraId="2B471DDE" w14:textId="029AFABA" w:rsidR="0051280F" w:rsidRPr="00C20869" w:rsidRDefault="0051280F" w:rsidP="00AE25C5">
      <w:pPr>
        <w:tabs>
          <w:tab w:val="left" w:pos="284"/>
        </w:tabs>
        <w:suppressAutoHyphens/>
        <w:ind w:left="284"/>
        <w:jc w:val="both"/>
        <w:rPr>
          <w:rFonts w:cstheme="minorHAnsi"/>
        </w:rPr>
      </w:pPr>
      <w:r w:rsidRPr="00C20869">
        <w:rPr>
          <w:rFonts w:cstheme="minorHAnsi"/>
        </w:rPr>
        <w:t>En cas d’exploitation par une société, tout changement statutaire ou formel de la société devra être communiqué à la COMMUNE, dans un délai d’un mois.</w:t>
      </w:r>
    </w:p>
    <w:p w14:paraId="6D4369BE" w14:textId="7D45735B" w:rsidR="0051280F" w:rsidRPr="00C20869" w:rsidRDefault="0051280F" w:rsidP="00AE25C5">
      <w:pPr>
        <w:tabs>
          <w:tab w:val="left" w:pos="284"/>
        </w:tabs>
        <w:suppressAutoHyphens/>
        <w:ind w:left="284"/>
        <w:jc w:val="both"/>
        <w:rPr>
          <w:rFonts w:cstheme="minorHAnsi"/>
        </w:rPr>
      </w:pPr>
      <w:r w:rsidRPr="00C20869">
        <w:rPr>
          <w:rFonts w:eastAsia="Times New Roman" w:cstheme="minorHAnsi"/>
        </w:rPr>
        <w:t>Toute mise à disposition au profit d’un tiers quel qu’il soit, à titre onéreux ou gratuit, est rigoureusement interdite.</w:t>
      </w:r>
    </w:p>
    <w:p w14:paraId="022DDB42" w14:textId="541718AC" w:rsidR="0051280F" w:rsidRPr="00C20869" w:rsidRDefault="0051280F" w:rsidP="00AE25C5">
      <w:pPr>
        <w:tabs>
          <w:tab w:val="left" w:pos="284"/>
        </w:tabs>
        <w:suppressAutoHyphens/>
        <w:ind w:left="284"/>
        <w:jc w:val="both"/>
        <w:rPr>
          <w:rFonts w:cstheme="minorHAnsi"/>
        </w:rPr>
      </w:pPr>
      <w:r w:rsidRPr="00C20869">
        <w:rPr>
          <w:rFonts w:eastAsia="Times New Roman" w:cstheme="minorHAnsi"/>
        </w:rPr>
        <w:t>En cas d’impossibilité à exercer le commerce (raisons médicales, décès, cas de force majeure…),</w:t>
      </w:r>
      <w:r w:rsidRPr="00C20869">
        <w:rPr>
          <w:rFonts w:eastAsia="Times New Roman" w:cstheme="minorHAnsi"/>
          <w:color w:val="FF0000"/>
        </w:rPr>
        <w:t xml:space="preserve"> </w:t>
      </w:r>
      <w:r w:rsidRPr="00C20869">
        <w:rPr>
          <w:rFonts w:eastAsia="Times New Roman" w:cstheme="minorHAnsi"/>
          <w:color w:val="000000"/>
        </w:rPr>
        <w:t>il appartiendra à la COMMUNE d’envisager la continuité de l‘exploitation.</w:t>
      </w:r>
    </w:p>
    <w:p w14:paraId="21FF1F59" w14:textId="37ADF602" w:rsidR="0051280F" w:rsidRPr="00C20869" w:rsidRDefault="0051280F" w:rsidP="00AE25C5">
      <w:pPr>
        <w:tabs>
          <w:tab w:val="left" w:pos="283"/>
        </w:tabs>
        <w:suppressAutoHyphens/>
        <w:ind w:left="284"/>
        <w:jc w:val="both"/>
        <w:rPr>
          <w:rFonts w:cstheme="minorHAnsi"/>
        </w:rPr>
      </w:pPr>
      <w:r w:rsidRPr="00C20869">
        <w:rPr>
          <w:rFonts w:eastAsia="Times New Roman" w:cstheme="minorHAnsi"/>
        </w:rPr>
        <w:t>Cette autorisation d’exploitation est exclue du champ d’application des baux commerciaux.</w:t>
      </w:r>
    </w:p>
    <w:p w14:paraId="53626ADA" w14:textId="3EC1E2D1" w:rsidR="0051280F" w:rsidRPr="00C20869" w:rsidRDefault="0051280F" w:rsidP="00AE25C5">
      <w:pPr>
        <w:suppressAutoHyphens/>
        <w:ind w:left="283" w:firstLine="1"/>
        <w:jc w:val="both"/>
        <w:rPr>
          <w:rFonts w:cstheme="minorHAnsi"/>
        </w:rPr>
      </w:pPr>
      <w:r w:rsidRPr="00C20869">
        <w:rPr>
          <w:rFonts w:cstheme="minorHAnsi"/>
        </w:rPr>
        <w:t xml:space="preserve">c) </w:t>
      </w:r>
      <w:r w:rsidRPr="00C20869">
        <w:rPr>
          <w:rFonts w:cstheme="minorHAnsi"/>
        </w:rPr>
        <w:tab/>
        <w:t>L</w:t>
      </w:r>
      <w:r w:rsidR="00C20869" w:rsidRPr="00C20869">
        <w:rPr>
          <w:rFonts w:cstheme="minorHAnsi"/>
        </w:rPr>
        <w:t>’</w:t>
      </w:r>
      <w:r w:rsidRPr="00C20869">
        <w:rPr>
          <w:rFonts w:cstheme="minorHAnsi"/>
        </w:rPr>
        <w:t>autorisation d’installation accordée à ce commerce pourr</w:t>
      </w:r>
      <w:r w:rsidR="00C20869" w:rsidRPr="00C20869">
        <w:rPr>
          <w:rFonts w:cstheme="minorHAnsi"/>
        </w:rPr>
        <w:t>a</w:t>
      </w:r>
      <w:r w:rsidRPr="00C20869">
        <w:rPr>
          <w:rFonts w:cstheme="minorHAnsi"/>
        </w:rPr>
        <w:t xml:space="preserve"> être retirée en cas de dangerosité liée aux vagues submersibles qui touchent le boulevard de la MER.</w:t>
      </w:r>
    </w:p>
    <w:p w14:paraId="01AA1F04" w14:textId="3CDA40FA" w:rsidR="0051280F" w:rsidRDefault="0051280F" w:rsidP="00AE25C5">
      <w:pPr>
        <w:tabs>
          <w:tab w:val="left" w:pos="283"/>
        </w:tabs>
        <w:suppressAutoHyphens/>
        <w:ind w:left="283" w:hanging="283"/>
        <w:jc w:val="both"/>
        <w:rPr>
          <w:rFonts w:cstheme="minorHAnsi"/>
        </w:rPr>
      </w:pPr>
    </w:p>
    <w:p w14:paraId="1BFB8593" w14:textId="1B400836" w:rsidR="00C20869" w:rsidRDefault="00C20869" w:rsidP="00AE25C5">
      <w:pPr>
        <w:tabs>
          <w:tab w:val="left" w:pos="283"/>
        </w:tabs>
        <w:suppressAutoHyphens/>
        <w:ind w:left="283" w:hanging="283"/>
        <w:jc w:val="both"/>
        <w:rPr>
          <w:rFonts w:cstheme="minorHAnsi"/>
        </w:rPr>
      </w:pPr>
    </w:p>
    <w:p w14:paraId="0287AEC0" w14:textId="15062B61" w:rsidR="00C20869" w:rsidRDefault="00C20869" w:rsidP="00AE25C5">
      <w:pPr>
        <w:tabs>
          <w:tab w:val="left" w:pos="283"/>
        </w:tabs>
        <w:suppressAutoHyphens/>
        <w:ind w:left="283" w:hanging="283"/>
        <w:jc w:val="both"/>
        <w:rPr>
          <w:rFonts w:cstheme="minorHAnsi"/>
        </w:rPr>
      </w:pPr>
    </w:p>
    <w:p w14:paraId="28BAF0D8" w14:textId="26B668AF" w:rsidR="00255518" w:rsidRDefault="00255518" w:rsidP="00AE25C5">
      <w:pPr>
        <w:tabs>
          <w:tab w:val="left" w:pos="283"/>
        </w:tabs>
        <w:suppressAutoHyphens/>
        <w:ind w:left="283" w:hanging="283"/>
        <w:jc w:val="both"/>
        <w:rPr>
          <w:rFonts w:cstheme="minorHAnsi"/>
        </w:rPr>
      </w:pPr>
    </w:p>
    <w:p w14:paraId="3EDACFBA" w14:textId="77777777" w:rsidR="00255518" w:rsidRPr="00C20869" w:rsidRDefault="00255518" w:rsidP="00AE25C5">
      <w:pPr>
        <w:tabs>
          <w:tab w:val="left" w:pos="283"/>
        </w:tabs>
        <w:suppressAutoHyphens/>
        <w:ind w:left="283" w:hanging="283"/>
        <w:jc w:val="both"/>
        <w:rPr>
          <w:rFonts w:cstheme="minorHAnsi"/>
        </w:rPr>
      </w:pPr>
    </w:p>
    <w:p w14:paraId="76748C8E" w14:textId="77777777" w:rsidR="0051280F" w:rsidRPr="00C20869" w:rsidRDefault="0051280F" w:rsidP="00AE25C5">
      <w:pPr>
        <w:tabs>
          <w:tab w:val="left" w:pos="283"/>
        </w:tabs>
        <w:suppressAutoHyphens/>
        <w:ind w:left="283" w:hanging="283"/>
        <w:jc w:val="both"/>
        <w:rPr>
          <w:rFonts w:cstheme="minorHAnsi"/>
        </w:rPr>
      </w:pPr>
    </w:p>
    <w:p w14:paraId="704114F3" w14:textId="007BE843" w:rsidR="0051280F" w:rsidRDefault="0051280F" w:rsidP="00AE25C5">
      <w:pPr>
        <w:jc w:val="both"/>
        <w:rPr>
          <w:rFonts w:cstheme="minorHAnsi"/>
          <w:b/>
          <w:u w:val="single"/>
        </w:rPr>
      </w:pPr>
      <w:r w:rsidRPr="00C20869">
        <w:rPr>
          <w:rFonts w:cstheme="minorHAnsi"/>
          <w:b/>
          <w:u w:val="single"/>
        </w:rPr>
        <w:t xml:space="preserve">ARTICLE 3 - OBLIGATIONS </w:t>
      </w:r>
      <w:r w:rsidR="00C20869">
        <w:rPr>
          <w:rFonts w:cstheme="minorHAnsi"/>
          <w:b/>
          <w:u w:val="single"/>
        </w:rPr>
        <w:t>À</w:t>
      </w:r>
      <w:r w:rsidRPr="00C20869">
        <w:rPr>
          <w:rFonts w:cstheme="minorHAnsi"/>
          <w:b/>
          <w:u w:val="single"/>
        </w:rPr>
        <w:t xml:space="preserve"> LA CHARGE DES BENEFICIAIRES DES AOT</w:t>
      </w:r>
    </w:p>
    <w:p w14:paraId="44257A4E" w14:textId="77743034" w:rsidR="00A17B58" w:rsidRDefault="00651E9B" w:rsidP="00A17B58">
      <w:pPr>
        <w:tabs>
          <w:tab w:val="left" w:pos="284"/>
        </w:tabs>
        <w:suppressAutoHyphens/>
        <w:ind w:left="284"/>
        <w:jc w:val="both"/>
        <w:rPr>
          <w:rFonts w:cstheme="minorHAnsi"/>
        </w:rPr>
      </w:pPr>
      <w:bookmarkStart w:id="0" w:name="_Hlk68595422"/>
      <w:r w:rsidRPr="00AE25C5">
        <w:rPr>
          <w:rFonts w:cstheme="minorHAnsi"/>
        </w:rPr>
        <w:t xml:space="preserve">La Commune souhaite que le bénéficiaire s’engage dans une démarche active de qualité, de progression et d’écoute de sa clientèle, notamment en </w:t>
      </w:r>
      <w:r w:rsidR="00AE25C5" w:rsidRPr="00AE25C5">
        <w:rPr>
          <w:rFonts w:cstheme="minorHAnsi"/>
        </w:rPr>
        <w:t>s’inspirant des</w:t>
      </w:r>
      <w:r w:rsidRPr="00AE25C5">
        <w:rPr>
          <w:rFonts w:cstheme="minorHAnsi"/>
        </w:rPr>
        <w:t xml:space="preserve"> critères de la marque « </w:t>
      </w:r>
      <w:r w:rsidRPr="00AE25C5">
        <w:rPr>
          <w:rFonts w:cstheme="minorHAnsi"/>
          <w:b/>
          <w:bCs/>
        </w:rPr>
        <w:t>qualité tourisme</w:t>
      </w:r>
      <w:r w:rsidRPr="00AE25C5">
        <w:rPr>
          <w:rFonts w:cstheme="minorHAnsi"/>
        </w:rPr>
        <w:t xml:space="preserve"> »</w:t>
      </w:r>
      <w:r w:rsidR="00A17B58">
        <w:rPr>
          <w:rFonts w:cstheme="minorHAnsi"/>
        </w:rPr>
        <w:t>,</w:t>
      </w:r>
      <w:r w:rsidRPr="00AE25C5">
        <w:rPr>
          <w:rFonts w:cstheme="minorHAnsi"/>
        </w:rPr>
        <w:t xml:space="preserve"> créée et gérée par l’</w:t>
      </w:r>
      <w:r w:rsidR="00C20869" w:rsidRPr="00AE25C5">
        <w:rPr>
          <w:rFonts w:cstheme="minorHAnsi"/>
        </w:rPr>
        <w:t>É</w:t>
      </w:r>
      <w:r w:rsidRPr="00AE25C5">
        <w:rPr>
          <w:rFonts w:cstheme="minorHAnsi"/>
        </w:rPr>
        <w:t>tat dans le cadre de son plan Qualité Tourisme.</w:t>
      </w:r>
      <w:bookmarkEnd w:id="0"/>
      <w:r w:rsidRPr="00C20869">
        <w:rPr>
          <w:rFonts w:cstheme="minorHAnsi"/>
        </w:rPr>
        <w:t xml:space="preserve"> </w:t>
      </w:r>
      <w:r w:rsidR="00A17B58">
        <w:rPr>
          <w:rFonts w:cstheme="minorHAnsi"/>
        </w:rPr>
        <w:t>Les mesures que le bénéficiaire mettra en place devront être détaillées dans sa candidature</w:t>
      </w:r>
      <w:r w:rsidRPr="00C20869">
        <w:rPr>
          <w:rFonts w:cstheme="minorHAnsi"/>
        </w:rPr>
        <w:t xml:space="preserve"> </w:t>
      </w:r>
      <w:r w:rsidR="00A17B58">
        <w:rPr>
          <w:rFonts w:cstheme="minorHAnsi"/>
        </w:rPr>
        <w:t>et pourront porter sur les éléments suivants :</w:t>
      </w:r>
    </w:p>
    <w:p w14:paraId="2118F149" w14:textId="28701D30" w:rsidR="00AE25C5" w:rsidRPr="00A17B58" w:rsidRDefault="00AE25C5" w:rsidP="00DD78F8">
      <w:pPr>
        <w:pStyle w:val="Paragraphedeliste"/>
        <w:numPr>
          <w:ilvl w:val="0"/>
          <w:numId w:val="15"/>
        </w:numPr>
        <w:tabs>
          <w:tab w:val="left" w:pos="284"/>
        </w:tabs>
        <w:suppressAutoHyphens/>
        <w:jc w:val="both"/>
        <w:rPr>
          <w:rFonts w:eastAsia="Times New Roman"/>
          <w:color w:val="000000"/>
        </w:rPr>
      </w:pPr>
      <w:r w:rsidRPr="00A17B58">
        <w:rPr>
          <w:rFonts w:eastAsia="Times New Roman"/>
          <w:color w:val="000000"/>
        </w:rPr>
        <w:t xml:space="preserve">Accueil du public : accueillir en français, basque, espagnol </w:t>
      </w:r>
      <w:r w:rsidR="00A17B58">
        <w:rPr>
          <w:rFonts w:eastAsia="Times New Roman"/>
          <w:color w:val="000000"/>
        </w:rPr>
        <w:t>ou</w:t>
      </w:r>
      <w:r w:rsidRPr="00A17B58">
        <w:rPr>
          <w:rFonts w:eastAsia="Times New Roman"/>
          <w:color w:val="000000"/>
        </w:rPr>
        <w:t xml:space="preserve"> anglais ; carte traduite en plusieurs langues (préciser)</w:t>
      </w:r>
    </w:p>
    <w:p w14:paraId="54ED3351" w14:textId="77777777" w:rsidR="00AE25C5" w:rsidRPr="00A17B58" w:rsidRDefault="00AE25C5" w:rsidP="00DD78F8">
      <w:pPr>
        <w:numPr>
          <w:ilvl w:val="0"/>
          <w:numId w:val="15"/>
        </w:numPr>
        <w:spacing w:before="100" w:beforeAutospacing="1" w:after="100" w:afterAutospacing="1" w:line="240" w:lineRule="auto"/>
        <w:rPr>
          <w:rFonts w:eastAsia="Times New Roman"/>
          <w:color w:val="000000"/>
        </w:rPr>
      </w:pPr>
      <w:r w:rsidRPr="00A17B58">
        <w:rPr>
          <w:rFonts w:eastAsia="Times New Roman"/>
          <w:color w:val="000000"/>
        </w:rPr>
        <w:t>Identification du personnel : tenue des personnes travaillant dans la cabane, badge précisant les langues parlées</w:t>
      </w:r>
    </w:p>
    <w:p w14:paraId="2AD6944D" w14:textId="6D5E0286" w:rsidR="00AE25C5" w:rsidRDefault="00AE25C5" w:rsidP="00DD78F8">
      <w:pPr>
        <w:numPr>
          <w:ilvl w:val="0"/>
          <w:numId w:val="15"/>
        </w:numPr>
        <w:spacing w:before="100" w:beforeAutospacing="1" w:after="100" w:afterAutospacing="1" w:line="240" w:lineRule="auto"/>
        <w:rPr>
          <w:rFonts w:eastAsia="Times New Roman"/>
          <w:color w:val="000000"/>
        </w:rPr>
      </w:pPr>
      <w:r w:rsidRPr="00A17B58">
        <w:rPr>
          <w:rFonts w:eastAsia="Times New Roman"/>
          <w:color w:val="000000"/>
        </w:rPr>
        <w:t xml:space="preserve">Suivi qualité : répondre aux avis postés sur les réseaux sociaux (google business et trip </w:t>
      </w:r>
      <w:proofErr w:type="spellStart"/>
      <w:r w:rsidR="00A17B58" w:rsidRPr="00A17B58">
        <w:rPr>
          <w:rFonts w:eastAsia="Times New Roman"/>
          <w:color w:val="000000"/>
        </w:rPr>
        <w:t>advisor</w:t>
      </w:r>
      <w:proofErr w:type="spellEnd"/>
      <w:r w:rsidR="00A17B58" w:rsidRPr="00A17B58">
        <w:rPr>
          <w:rFonts w:eastAsia="Times New Roman"/>
          <w:color w:val="000000"/>
        </w:rPr>
        <w:t>) ......</w:t>
      </w:r>
    </w:p>
    <w:p w14:paraId="4A93D33A" w14:textId="087BCFD4" w:rsidR="00A17B58" w:rsidRDefault="00A17B58" w:rsidP="00DD78F8">
      <w:pPr>
        <w:numPr>
          <w:ilvl w:val="0"/>
          <w:numId w:val="15"/>
        </w:numPr>
        <w:spacing w:before="100" w:beforeAutospacing="1" w:after="100" w:afterAutospacing="1" w:line="240" w:lineRule="auto"/>
        <w:rPr>
          <w:rFonts w:eastAsia="Times New Roman"/>
          <w:color w:val="000000"/>
        </w:rPr>
      </w:pPr>
      <w:r>
        <w:rPr>
          <w:rFonts w:eastAsia="Times New Roman"/>
          <w:color w:val="000000"/>
        </w:rPr>
        <w:t>Prestations personnalisées</w:t>
      </w:r>
    </w:p>
    <w:p w14:paraId="10E0BB3B" w14:textId="5B198912" w:rsidR="00A17B58" w:rsidRDefault="00A17B58" w:rsidP="00DD78F8">
      <w:pPr>
        <w:numPr>
          <w:ilvl w:val="0"/>
          <w:numId w:val="15"/>
        </w:numPr>
        <w:spacing w:before="100" w:beforeAutospacing="1" w:after="100" w:afterAutospacing="1" w:line="240" w:lineRule="auto"/>
        <w:rPr>
          <w:rFonts w:eastAsia="Times New Roman"/>
          <w:color w:val="000000"/>
        </w:rPr>
      </w:pPr>
      <w:r>
        <w:rPr>
          <w:rFonts w:eastAsia="Times New Roman"/>
          <w:color w:val="000000"/>
        </w:rPr>
        <w:t>Des informations claires et précises</w:t>
      </w:r>
    </w:p>
    <w:p w14:paraId="7DAC5E90" w14:textId="6E4189E9" w:rsidR="00A17B58" w:rsidRPr="00A17B58" w:rsidRDefault="00A17B58" w:rsidP="00DD78F8">
      <w:pPr>
        <w:numPr>
          <w:ilvl w:val="0"/>
          <w:numId w:val="15"/>
        </w:numPr>
        <w:spacing w:before="100" w:beforeAutospacing="1" w:after="100" w:afterAutospacing="1" w:line="240" w:lineRule="auto"/>
        <w:rPr>
          <w:rFonts w:eastAsia="Times New Roman"/>
          <w:color w:val="000000"/>
        </w:rPr>
      </w:pPr>
      <w:r>
        <w:rPr>
          <w:rFonts w:eastAsia="Times New Roman"/>
          <w:color w:val="000000"/>
        </w:rPr>
        <w:t>Une propreté et un confort assurés</w:t>
      </w:r>
    </w:p>
    <w:p w14:paraId="0BCDB347" w14:textId="1029DF3B" w:rsidR="0051280F" w:rsidRDefault="00A17B58" w:rsidP="00AE25C5">
      <w:pPr>
        <w:tabs>
          <w:tab w:val="left" w:pos="284"/>
        </w:tabs>
        <w:suppressAutoHyphens/>
        <w:ind w:left="284"/>
        <w:jc w:val="both"/>
        <w:rPr>
          <w:rFonts w:cstheme="minorHAnsi"/>
        </w:rPr>
      </w:pPr>
      <w:r>
        <w:rPr>
          <w:rFonts w:cstheme="minorHAnsi"/>
        </w:rPr>
        <w:t xml:space="preserve"> Ces mesures, qui</w:t>
      </w:r>
      <w:r w:rsidR="00651E9B" w:rsidRPr="00C20869">
        <w:rPr>
          <w:rFonts w:cstheme="minorHAnsi"/>
        </w:rPr>
        <w:t xml:space="preserve"> s</w:t>
      </w:r>
      <w:r>
        <w:rPr>
          <w:rFonts w:cstheme="minorHAnsi"/>
        </w:rPr>
        <w:t>er</w:t>
      </w:r>
      <w:r w:rsidR="00651E9B" w:rsidRPr="00C20869">
        <w:rPr>
          <w:rFonts w:cstheme="minorHAnsi"/>
        </w:rPr>
        <w:t>ont décrites dans son offre</w:t>
      </w:r>
      <w:r>
        <w:rPr>
          <w:rFonts w:cstheme="minorHAnsi"/>
        </w:rPr>
        <w:t>,</w:t>
      </w:r>
      <w:r w:rsidR="00651E9B" w:rsidRPr="00C20869">
        <w:rPr>
          <w:rFonts w:cstheme="minorHAnsi"/>
        </w:rPr>
        <w:t xml:space="preserve"> s</w:t>
      </w:r>
      <w:r>
        <w:rPr>
          <w:rFonts w:cstheme="minorHAnsi"/>
        </w:rPr>
        <w:t>er</w:t>
      </w:r>
      <w:r w:rsidR="00651E9B" w:rsidRPr="00C20869">
        <w:rPr>
          <w:rFonts w:cstheme="minorHAnsi"/>
        </w:rPr>
        <w:t>ont contractuelles</w:t>
      </w:r>
      <w:r w:rsidR="00255518">
        <w:rPr>
          <w:rFonts w:cstheme="minorHAnsi"/>
        </w:rPr>
        <w:t>.</w:t>
      </w:r>
    </w:p>
    <w:p w14:paraId="31659BB3" w14:textId="77777777" w:rsidR="00A17B58" w:rsidRPr="00857096" w:rsidRDefault="00A17B58" w:rsidP="00AE25C5">
      <w:pPr>
        <w:tabs>
          <w:tab w:val="left" w:pos="284"/>
        </w:tabs>
        <w:suppressAutoHyphens/>
        <w:ind w:left="284"/>
        <w:jc w:val="both"/>
        <w:rPr>
          <w:rFonts w:cstheme="minorHAnsi"/>
          <w:color w:val="FF0000"/>
        </w:rPr>
      </w:pPr>
    </w:p>
    <w:p w14:paraId="41737216" w14:textId="7CAE740F" w:rsidR="00C71EA7" w:rsidRPr="00C20869" w:rsidRDefault="0051280F" w:rsidP="00AE25C5">
      <w:pPr>
        <w:tabs>
          <w:tab w:val="left" w:pos="283"/>
          <w:tab w:val="left" w:pos="583"/>
        </w:tabs>
        <w:suppressAutoHyphens/>
        <w:ind w:left="283" w:hanging="283"/>
        <w:jc w:val="both"/>
        <w:rPr>
          <w:rFonts w:cstheme="minorHAnsi"/>
        </w:rPr>
      </w:pPr>
      <w:r w:rsidRPr="00C20869">
        <w:rPr>
          <w:rFonts w:eastAsia="Times New Roman" w:cstheme="minorHAnsi"/>
        </w:rPr>
        <w:tab/>
      </w:r>
      <w:r w:rsidR="00C71EA7" w:rsidRPr="00C20869">
        <w:rPr>
          <w:rFonts w:cstheme="minorHAnsi"/>
        </w:rPr>
        <w:t>Le bénéficiaire s’engage à utiliser du mobilier pour la terrasse choisi</w:t>
      </w:r>
      <w:r w:rsidR="00857096">
        <w:rPr>
          <w:rFonts w:cstheme="minorHAnsi"/>
        </w:rPr>
        <w:t>e</w:t>
      </w:r>
      <w:r w:rsidR="00C71EA7" w:rsidRPr="00C20869">
        <w:rPr>
          <w:rFonts w:cstheme="minorHAnsi"/>
        </w:rPr>
        <w:t xml:space="preserve"> dans une seule gamme de matériel et n’utiliser qu’un nombre limité de matériaux (3 maximum). Il devra être de bonne qualité et réalisé dans des matériaux nobles : bois, aluminium, acier, rotin, résine ; avec des colories qui évolueront autour du gris ou du beige (RAL 1015,1019, 7035, 7044, 9001, 9016). Le plastique est proscrit pour les tables et les chaises.</w:t>
      </w:r>
    </w:p>
    <w:p w14:paraId="04EC8DD0" w14:textId="77777777" w:rsidR="00C71EA7" w:rsidRPr="00C20869" w:rsidRDefault="00C71EA7" w:rsidP="00AE25C5">
      <w:pPr>
        <w:ind w:left="284"/>
        <w:jc w:val="both"/>
        <w:rPr>
          <w:rFonts w:cstheme="minorHAnsi"/>
        </w:rPr>
      </w:pPr>
      <w:r w:rsidRPr="00C20869">
        <w:rPr>
          <w:rFonts w:cstheme="minorHAnsi"/>
        </w:rPr>
        <w:t>Les styles et colories des parasols seront uniformes pour l’ensemble de la terrasse et le reste du mobilier (RAL identique). Les parasols sponsorisés, ainsi que toute signalétique extérieure, ne seront pas acceptés.</w:t>
      </w:r>
    </w:p>
    <w:p w14:paraId="0209138C" w14:textId="77777777" w:rsidR="00C71EA7" w:rsidRPr="00C20869" w:rsidRDefault="00C71EA7" w:rsidP="00AE25C5">
      <w:pPr>
        <w:ind w:left="284"/>
        <w:jc w:val="both"/>
        <w:rPr>
          <w:rFonts w:cstheme="minorHAnsi"/>
        </w:rPr>
      </w:pPr>
      <w:r w:rsidRPr="00C20869">
        <w:rPr>
          <w:rFonts w:cstheme="minorHAnsi"/>
        </w:rPr>
        <w:t>Pendant la période d’exploitation des commerces, durant les horaires quotidiens de fermeture, le mobilier sera rangé hors du domaine public. En cas d’alerte météo, le mobilier ne pourra être installé.</w:t>
      </w:r>
    </w:p>
    <w:p w14:paraId="2641360A" w14:textId="2628B9B6" w:rsidR="0051280F" w:rsidRPr="00C20869" w:rsidRDefault="0051280F" w:rsidP="00AE25C5">
      <w:pPr>
        <w:tabs>
          <w:tab w:val="left" w:pos="283"/>
          <w:tab w:val="left" w:pos="583"/>
        </w:tabs>
        <w:suppressAutoHyphens/>
        <w:ind w:left="567" w:hanging="567"/>
        <w:jc w:val="both"/>
        <w:rPr>
          <w:rFonts w:cstheme="minorHAnsi"/>
        </w:rPr>
      </w:pPr>
      <w:r w:rsidRPr="00C20869">
        <w:rPr>
          <w:rFonts w:eastAsia="Times New Roman" w:cstheme="minorHAnsi"/>
        </w:rPr>
        <w:tab/>
      </w:r>
      <w:r w:rsidRPr="00C20869">
        <w:rPr>
          <w:rFonts w:cstheme="minorHAnsi"/>
        </w:rPr>
        <w:t>Le bénéficiaire de l’AOT s’engage à :</w:t>
      </w:r>
    </w:p>
    <w:p w14:paraId="2EC2EF75" w14:textId="77777777" w:rsidR="0051280F" w:rsidRPr="00C20869" w:rsidRDefault="0051280F" w:rsidP="00AE25C5">
      <w:pPr>
        <w:tabs>
          <w:tab w:val="left" w:pos="283"/>
          <w:tab w:val="left" w:pos="583"/>
        </w:tabs>
        <w:suppressAutoHyphens/>
        <w:ind w:left="567" w:hanging="567"/>
        <w:jc w:val="both"/>
        <w:rPr>
          <w:rFonts w:cstheme="minorHAnsi"/>
        </w:rPr>
      </w:pPr>
      <w:r w:rsidRPr="00C20869">
        <w:rPr>
          <w:rFonts w:cstheme="minorHAnsi"/>
        </w:rPr>
        <w:tab/>
        <w:t>-   respecter la législation fiscale et sociale,</w:t>
      </w:r>
    </w:p>
    <w:p w14:paraId="07691C78" w14:textId="4B8C2088" w:rsidR="0051280F" w:rsidRPr="00C20869" w:rsidRDefault="0051280F" w:rsidP="00AE25C5">
      <w:pPr>
        <w:tabs>
          <w:tab w:val="left" w:pos="283"/>
          <w:tab w:val="left" w:pos="517"/>
        </w:tabs>
        <w:suppressAutoHyphens/>
        <w:ind w:left="510" w:hanging="567"/>
        <w:jc w:val="both"/>
        <w:rPr>
          <w:rFonts w:cstheme="minorHAnsi"/>
        </w:rPr>
      </w:pPr>
      <w:r w:rsidRPr="00C20869">
        <w:rPr>
          <w:rFonts w:cstheme="minorHAnsi"/>
        </w:rPr>
        <w:tab/>
        <w:t xml:space="preserve">- </w:t>
      </w:r>
      <w:r w:rsidRPr="00C20869">
        <w:rPr>
          <w:rFonts w:cstheme="minorHAnsi"/>
        </w:rPr>
        <w:tab/>
        <w:t>respecter toutes les lois et règlements en vigueur, notamment en ce qui concerne la prescription du Code de la Santé publique, les règles élémentaires d’hygiène et de santé publique. Il s’engage particulièrement à respecter les obligations de l’arrêté du 8 octobre 2013, réglementant l’hygiène des aliments remis directement au consommateur,</w:t>
      </w:r>
    </w:p>
    <w:p w14:paraId="6675ED93" w14:textId="176EE7BC" w:rsidR="0051280F" w:rsidRPr="00255518" w:rsidRDefault="0051280F" w:rsidP="00AE25C5">
      <w:pPr>
        <w:tabs>
          <w:tab w:val="left" w:pos="283"/>
          <w:tab w:val="left" w:pos="517"/>
        </w:tabs>
        <w:suppressAutoHyphens/>
        <w:ind w:left="510" w:hanging="567"/>
        <w:jc w:val="both"/>
        <w:rPr>
          <w:rFonts w:cstheme="minorHAnsi"/>
        </w:rPr>
      </w:pPr>
      <w:r w:rsidRPr="00C20869">
        <w:rPr>
          <w:rFonts w:cstheme="minorHAnsi"/>
          <w:color w:val="000000"/>
        </w:rPr>
        <w:tab/>
        <w:t xml:space="preserve">- </w:t>
      </w:r>
      <w:r w:rsidRPr="00C20869">
        <w:rPr>
          <w:rFonts w:cstheme="minorHAnsi"/>
          <w:color w:val="000000"/>
        </w:rPr>
        <w:tab/>
        <w:t>à utiliser des contenants en matériaux recyclables,</w:t>
      </w:r>
      <w:r w:rsidR="00B87E0C">
        <w:rPr>
          <w:rFonts w:cstheme="minorHAnsi"/>
          <w:color w:val="000000"/>
        </w:rPr>
        <w:t xml:space="preserve"> </w:t>
      </w:r>
      <w:r w:rsidR="00B87E0C" w:rsidRPr="00255518">
        <w:rPr>
          <w:rFonts w:cstheme="minorHAnsi"/>
        </w:rPr>
        <w:t xml:space="preserve">voire à avoir recours à la consignation. </w:t>
      </w:r>
    </w:p>
    <w:p w14:paraId="55281344" w14:textId="652B71B5" w:rsidR="0051280F" w:rsidRPr="00C20869" w:rsidRDefault="0051280F" w:rsidP="00AE25C5">
      <w:pPr>
        <w:tabs>
          <w:tab w:val="left" w:pos="283"/>
          <w:tab w:val="left" w:pos="517"/>
        </w:tabs>
        <w:suppressAutoHyphens/>
        <w:ind w:left="510" w:hanging="567"/>
        <w:jc w:val="both"/>
        <w:rPr>
          <w:rFonts w:cstheme="minorHAnsi"/>
        </w:rPr>
      </w:pPr>
      <w:r w:rsidRPr="00C20869">
        <w:rPr>
          <w:rFonts w:cstheme="minorHAnsi"/>
          <w:color w:val="000000"/>
        </w:rPr>
        <w:tab/>
        <w:t xml:space="preserve">- </w:t>
      </w:r>
      <w:r w:rsidRPr="00C20869">
        <w:rPr>
          <w:rFonts w:cstheme="minorHAnsi"/>
          <w:color w:val="000000"/>
        </w:rPr>
        <w:tab/>
        <w:t>à trier les déchets induits par son activité (verre, plastique, boî</w:t>
      </w:r>
      <w:r w:rsidRPr="00C20869">
        <w:rPr>
          <w:rFonts w:cstheme="minorHAnsi"/>
        </w:rPr>
        <w:t>tes de conserve, cartons…).</w:t>
      </w:r>
      <w:r w:rsidR="00D45258" w:rsidRPr="00C20869">
        <w:rPr>
          <w:rFonts w:cstheme="minorHAnsi"/>
        </w:rPr>
        <w:t xml:space="preserve"> Le bénéficiaire fera apparaitre en détail dans sa candidature sa gestion des déchets issus de l’exploitation, q</w:t>
      </w:r>
      <w:r w:rsidR="00C20869" w:rsidRPr="00C20869">
        <w:rPr>
          <w:rFonts w:cstheme="minorHAnsi"/>
        </w:rPr>
        <w:t>u</w:t>
      </w:r>
      <w:r w:rsidR="00D45258" w:rsidRPr="00C20869">
        <w:rPr>
          <w:rFonts w:cstheme="minorHAnsi"/>
        </w:rPr>
        <w:t xml:space="preserve">i devra être durable, raisonnée et respectueuse.  </w:t>
      </w:r>
    </w:p>
    <w:p w14:paraId="0017F50A" w14:textId="59C8E882" w:rsidR="0051280F" w:rsidRPr="00C20869" w:rsidRDefault="0051280F" w:rsidP="00AE25C5">
      <w:pPr>
        <w:tabs>
          <w:tab w:val="left" w:pos="283"/>
          <w:tab w:val="left" w:pos="583"/>
        </w:tabs>
        <w:suppressAutoHyphens/>
        <w:ind w:left="283" w:hanging="283"/>
        <w:jc w:val="both"/>
        <w:rPr>
          <w:rFonts w:cstheme="minorHAnsi"/>
        </w:rPr>
      </w:pPr>
      <w:r w:rsidRPr="00C20869">
        <w:rPr>
          <w:rFonts w:eastAsia="Times New Roman" w:cstheme="minorHAnsi"/>
        </w:rPr>
        <w:lastRenderedPageBreak/>
        <w:tab/>
      </w:r>
      <w:r w:rsidRPr="00C20869">
        <w:rPr>
          <w:rFonts w:cstheme="minorHAnsi"/>
        </w:rPr>
        <w:t>Le bénéficiaire de l’AOT devra privilégier les produits de qualité (comme les produits Bio), les produits locaux et les circuits courts (à préciser dans le dossier de candidature).</w:t>
      </w:r>
    </w:p>
    <w:p w14:paraId="18426A6F" w14:textId="0B8C9AAC" w:rsidR="0051280F" w:rsidRPr="00C20869" w:rsidRDefault="0051280F" w:rsidP="00AE25C5">
      <w:pPr>
        <w:tabs>
          <w:tab w:val="left" w:pos="283"/>
          <w:tab w:val="left" w:pos="583"/>
        </w:tabs>
        <w:suppressAutoHyphens/>
        <w:ind w:left="283" w:hanging="283"/>
        <w:jc w:val="both"/>
        <w:rPr>
          <w:rFonts w:cstheme="minorHAnsi"/>
        </w:rPr>
      </w:pPr>
      <w:r w:rsidRPr="00C20869">
        <w:rPr>
          <w:rFonts w:eastAsia="Times New Roman" w:cstheme="minorHAnsi"/>
        </w:rPr>
        <w:tab/>
        <w:t>Il devra tenir son établissement et ses abords en parfait état de propreté, avoir une tenue correcte et des égards envers le public.</w:t>
      </w:r>
    </w:p>
    <w:p w14:paraId="46F9EAAF" w14:textId="77777777" w:rsidR="0051280F" w:rsidRPr="00C20869" w:rsidRDefault="0051280F" w:rsidP="00AE25C5">
      <w:pPr>
        <w:tabs>
          <w:tab w:val="left" w:pos="283"/>
          <w:tab w:val="left" w:pos="583"/>
        </w:tabs>
        <w:suppressAutoHyphens/>
        <w:ind w:left="283" w:hanging="283"/>
        <w:jc w:val="both"/>
        <w:rPr>
          <w:rFonts w:cstheme="minorHAnsi"/>
        </w:rPr>
      </w:pPr>
      <w:r w:rsidRPr="00C20869">
        <w:rPr>
          <w:rFonts w:eastAsia="Times New Roman" w:cstheme="minorHAnsi"/>
        </w:rPr>
        <w:tab/>
        <w:t>En cas de plaintes justifiées, l’autorisation pourra être résiliée sans que celle-ci ouvre droit à indemnité et sans qu’il puisse être réclamé des dommages et intérêts.</w:t>
      </w:r>
    </w:p>
    <w:p w14:paraId="14949248" w14:textId="2C166AFD" w:rsidR="0051280F" w:rsidRPr="00C20869" w:rsidRDefault="0051280F" w:rsidP="00AE25C5">
      <w:pPr>
        <w:tabs>
          <w:tab w:val="left" w:pos="283"/>
          <w:tab w:val="left" w:pos="583"/>
        </w:tabs>
        <w:suppressAutoHyphens/>
        <w:ind w:left="283" w:hanging="283"/>
        <w:jc w:val="both"/>
        <w:rPr>
          <w:rFonts w:cstheme="minorHAnsi"/>
        </w:rPr>
      </w:pPr>
      <w:r w:rsidRPr="00C20869">
        <w:rPr>
          <w:rFonts w:eastAsia="Times New Roman" w:cstheme="minorHAnsi"/>
        </w:rPr>
        <w:tab/>
        <w:t>Les prix des produits vendus seront affichés de manière visible et en permanence.</w:t>
      </w:r>
    </w:p>
    <w:p w14:paraId="3697D8EB" w14:textId="1BB03EF3" w:rsidR="0051280F" w:rsidRPr="00C20869" w:rsidRDefault="0051280F" w:rsidP="00AE25C5">
      <w:pPr>
        <w:tabs>
          <w:tab w:val="left" w:pos="283"/>
          <w:tab w:val="left" w:pos="583"/>
        </w:tabs>
        <w:suppressAutoHyphens/>
        <w:ind w:left="283" w:hanging="283"/>
        <w:jc w:val="both"/>
        <w:rPr>
          <w:rFonts w:cstheme="minorHAnsi"/>
        </w:rPr>
      </w:pPr>
      <w:r w:rsidRPr="00C20869">
        <w:rPr>
          <w:rFonts w:eastAsia="Times New Roman" w:cstheme="minorHAnsi"/>
        </w:rPr>
        <w:tab/>
        <w:t>Au terme de l’AOT, le bénéficiaire devra enlever tous les équipements, matériels et installations</w:t>
      </w:r>
      <w:r w:rsidR="00C20869" w:rsidRPr="00C20869">
        <w:rPr>
          <w:rFonts w:eastAsia="Times New Roman" w:cstheme="minorHAnsi"/>
        </w:rPr>
        <w:t> ;</w:t>
      </w:r>
      <w:r w:rsidRPr="00C20869">
        <w:rPr>
          <w:rFonts w:eastAsia="Times New Roman" w:cstheme="minorHAnsi"/>
        </w:rPr>
        <w:t xml:space="preserve"> à charge pour lui de remettre les lieux en l’état, sauf accord explicite de la COMMUNE.</w:t>
      </w:r>
    </w:p>
    <w:p w14:paraId="7A69901A" w14:textId="2A448B4A" w:rsidR="0051280F" w:rsidRPr="00C20869" w:rsidRDefault="00EB6970" w:rsidP="00AE25C5">
      <w:pPr>
        <w:tabs>
          <w:tab w:val="left" w:pos="283"/>
          <w:tab w:val="left" w:pos="583"/>
        </w:tabs>
        <w:suppressAutoHyphens/>
        <w:ind w:left="283" w:firstLine="1"/>
        <w:jc w:val="both"/>
        <w:rPr>
          <w:rFonts w:cstheme="minorHAnsi"/>
        </w:rPr>
      </w:pPr>
      <w:r w:rsidRPr="00C20869">
        <w:rPr>
          <w:rFonts w:cstheme="minorHAnsi"/>
        </w:rPr>
        <w:t xml:space="preserve">Le bénéficiaire a l’obligation de proposer un paiement par carte bancaire, </w:t>
      </w:r>
      <w:r w:rsidRPr="00255518">
        <w:rPr>
          <w:rFonts w:cstheme="minorHAnsi"/>
        </w:rPr>
        <w:t>avec sans contact,</w:t>
      </w:r>
      <w:r w:rsidRPr="00C20869">
        <w:rPr>
          <w:rFonts w:cstheme="minorHAnsi"/>
        </w:rPr>
        <w:t xml:space="preserve"> pour l’ensemble des services proposés par son établissement. En cas de panne, le sous-traitant s’engage à ce que le service soit réparé dans les plus brefs délais. </w:t>
      </w:r>
    </w:p>
    <w:p w14:paraId="3ECA2264" w14:textId="1B516555" w:rsidR="0051280F" w:rsidRPr="00C20869" w:rsidRDefault="0051280F" w:rsidP="00AE25C5">
      <w:pPr>
        <w:tabs>
          <w:tab w:val="left" w:pos="283"/>
          <w:tab w:val="left" w:pos="583"/>
        </w:tabs>
        <w:suppressAutoHyphens/>
        <w:ind w:left="283" w:hanging="283"/>
        <w:jc w:val="both"/>
        <w:rPr>
          <w:rFonts w:cstheme="minorHAnsi"/>
        </w:rPr>
      </w:pPr>
      <w:r w:rsidRPr="00C20869">
        <w:rPr>
          <w:rFonts w:eastAsia="Times New Roman" w:cstheme="minorHAnsi"/>
        </w:rPr>
        <w:tab/>
      </w:r>
      <w:r w:rsidR="00257210" w:rsidRPr="00C20869">
        <w:rPr>
          <w:rFonts w:cstheme="minorHAnsi"/>
        </w:rPr>
        <w:t>Le sous-traitant devra effectuer lui-même les démarches auprès des différents distributeurs d’énergie et de fluide. Il est tenu de payer directement la consommation de courant électrique au concessionnaire de la distribution d’énergie électrique ainsi que les frais d ‘abonnement, d’entretien des appareils et, le cas échéant, les frais d’installation ou de modification. En outre, il devra payer les abonnements et consommations d’eau et de téléphone s’il y a lieu. En aucun cas la Commune ne saurait être inquiétée pour le paiement desdites charges.</w:t>
      </w:r>
    </w:p>
    <w:p w14:paraId="7C63AC0C" w14:textId="643C664F" w:rsidR="0051280F" w:rsidRDefault="0051280F" w:rsidP="00AE25C5">
      <w:pPr>
        <w:tabs>
          <w:tab w:val="left" w:pos="283"/>
          <w:tab w:val="left" w:pos="583"/>
        </w:tabs>
        <w:suppressAutoHyphens/>
        <w:ind w:left="283" w:hanging="283"/>
        <w:jc w:val="both"/>
        <w:rPr>
          <w:rFonts w:eastAsia="Times New Roman" w:cstheme="minorHAnsi"/>
        </w:rPr>
      </w:pPr>
      <w:r w:rsidRPr="00C20869">
        <w:rPr>
          <w:rFonts w:eastAsia="Times New Roman" w:cstheme="minorHAnsi"/>
        </w:rPr>
        <w:tab/>
        <w:t>Il ne pourra prétendre à aucune réduction de la redevance, notamment en cas de suppression ou de réduction des services collectifs tels que l’eau, le gaz, l’électricité, le chauffage...</w:t>
      </w:r>
    </w:p>
    <w:p w14:paraId="7C2DDA2F" w14:textId="77777777" w:rsidR="00C20869" w:rsidRPr="00C20869" w:rsidRDefault="00C20869" w:rsidP="00AE25C5">
      <w:pPr>
        <w:tabs>
          <w:tab w:val="left" w:pos="283"/>
          <w:tab w:val="left" w:pos="583"/>
        </w:tabs>
        <w:suppressAutoHyphens/>
        <w:ind w:left="283" w:hanging="283"/>
        <w:jc w:val="both"/>
        <w:rPr>
          <w:rFonts w:cstheme="minorHAnsi"/>
        </w:rPr>
      </w:pPr>
    </w:p>
    <w:p w14:paraId="21BB73AE" w14:textId="00236B19" w:rsidR="00D45258" w:rsidRPr="00C20869" w:rsidRDefault="00D45258" w:rsidP="00AE25C5">
      <w:pPr>
        <w:pStyle w:val="Titre11"/>
        <w:jc w:val="both"/>
        <w:rPr>
          <w:rFonts w:asciiTheme="minorHAnsi" w:hAnsiTheme="minorHAnsi" w:cstheme="minorHAnsi"/>
          <w:sz w:val="22"/>
          <w:szCs w:val="22"/>
        </w:rPr>
      </w:pPr>
      <w:r w:rsidRPr="00C20869">
        <w:rPr>
          <w:rFonts w:asciiTheme="minorHAnsi" w:hAnsiTheme="minorHAnsi" w:cstheme="minorHAnsi"/>
          <w:sz w:val="22"/>
          <w:szCs w:val="22"/>
        </w:rPr>
        <w:t>ARTICLE 4 – OBLIGATIONS GÉNÉRALES RELATIVES AU PERSONNEL EMPLOYÉ</w:t>
      </w:r>
    </w:p>
    <w:p w14:paraId="69D0500F" w14:textId="779C2F35" w:rsidR="00D45258" w:rsidRPr="00B87E0C" w:rsidRDefault="00D45258" w:rsidP="00AE25C5">
      <w:pPr>
        <w:pStyle w:val="Titre11"/>
        <w:jc w:val="both"/>
        <w:rPr>
          <w:rFonts w:asciiTheme="minorHAnsi" w:hAnsiTheme="minorHAnsi" w:cstheme="minorHAnsi"/>
          <w:sz w:val="8"/>
          <w:szCs w:val="8"/>
        </w:rPr>
      </w:pPr>
    </w:p>
    <w:p w14:paraId="3DCBF1B9" w14:textId="75E1D9A8" w:rsidR="00D45258" w:rsidRPr="00C20869" w:rsidRDefault="00D45258" w:rsidP="00AE25C5">
      <w:pPr>
        <w:pStyle w:val="Titre11"/>
        <w:ind w:left="284"/>
        <w:jc w:val="both"/>
        <w:rPr>
          <w:rFonts w:asciiTheme="minorHAnsi" w:hAnsiTheme="minorHAnsi" w:cstheme="minorHAnsi"/>
          <w:b w:val="0"/>
          <w:bCs/>
          <w:sz w:val="22"/>
          <w:szCs w:val="22"/>
          <w:u w:val="none"/>
        </w:rPr>
      </w:pPr>
      <w:r w:rsidRPr="00C20869">
        <w:rPr>
          <w:rFonts w:asciiTheme="minorHAnsi" w:hAnsiTheme="minorHAnsi" w:cstheme="minorHAnsi"/>
          <w:b w:val="0"/>
          <w:bCs/>
          <w:sz w:val="22"/>
          <w:szCs w:val="22"/>
          <w:u w:val="none"/>
        </w:rPr>
        <w:t xml:space="preserve">Le titulaire engage son propre personnel. Il en a la gestion entière et exclusive. Il s’engage à appliquer les textes légaux et réglementaires en vigueur, notamment en matière de sécurité sociale, de législation du travail, d’hygiène sanitaire et de législation fiscale. Le personnel doit remplir toutes les conditions de moralité, de technicité et de fiabilité requises. Il correspond en nombre et en qualification à ce qui est nécessaire pour assurer un service diligent. Le </w:t>
      </w:r>
      <w:r w:rsidR="00C20869" w:rsidRPr="00C20869">
        <w:rPr>
          <w:rFonts w:asciiTheme="minorHAnsi" w:hAnsiTheme="minorHAnsi" w:cstheme="minorHAnsi"/>
          <w:b w:val="0"/>
          <w:bCs/>
          <w:sz w:val="22"/>
          <w:szCs w:val="22"/>
          <w:u w:val="none"/>
        </w:rPr>
        <w:t>bénéficiaire</w:t>
      </w:r>
      <w:r w:rsidRPr="00C20869">
        <w:rPr>
          <w:rFonts w:asciiTheme="minorHAnsi" w:hAnsiTheme="minorHAnsi" w:cstheme="minorHAnsi"/>
          <w:b w:val="0"/>
          <w:bCs/>
          <w:sz w:val="22"/>
          <w:szCs w:val="22"/>
          <w:u w:val="none"/>
        </w:rPr>
        <w:t xml:space="preserve"> est tenu de veiller au respect des obligations du contrat et au maintien d’un comportement correct par ce personnel. En cas de manquements graves et répétés aux obligations prévues par la présente clause, la Ville se réserve le droit de résilier la convention.</w:t>
      </w:r>
    </w:p>
    <w:p w14:paraId="16CC47AA" w14:textId="77777777" w:rsidR="0051280F" w:rsidRPr="00C20869" w:rsidRDefault="0051280F" w:rsidP="00AE25C5">
      <w:pPr>
        <w:jc w:val="both"/>
        <w:rPr>
          <w:rFonts w:cstheme="minorHAnsi"/>
        </w:rPr>
      </w:pPr>
    </w:p>
    <w:p w14:paraId="2B554DC8" w14:textId="06183616" w:rsidR="00EB6970" w:rsidRDefault="00EB6970" w:rsidP="00AE25C5">
      <w:pPr>
        <w:pStyle w:val="Titre11"/>
        <w:jc w:val="both"/>
        <w:rPr>
          <w:rFonts w:asciiTheme="minorHAnsi" w:hAnsiTheme="minorHAnsi" w:cstheme="minorHAnsi"/>
          <w:sz w:val="22"/>
          <w:szCs w:val="22"/>
        </w:rPr>
      </w:pPr>
      <w:r w:rsidRPr="00C20869">
        <w:rPr>
          <w:rFonts w:asciiTheme="minorHAnsi" w:hAnsiTheme="minorHAnsi" w:cstheme="minorHAnsi"/>
          <w:sz w:val="22"/>
          <w:szCs w:val="22"/>
        </w:rPr>
        <w:t xml:space="preserve">ARTICLE </w:t>
      </w:r>
      <w:r w:rsidR="00C20869" w:rsidRPr="00C20869">
        <w:rPr>
          <w:rFonts w:asciiTheme="minorHAnsi" w:hAnsiTheme="minorHAnsi" w:cstheme="minorHAnsi"/>
          <w:sz w:val="22"/>
          <w:szCs w:val="22"/>
        </w:rPr>
        <w:t>5</w:t>
      </w:r>
      <w:r w:rsidRPr="00C20869">
        <w:rPr>
          <w:rFonts w:asciiTheme="minorHAnsi" w:hAnsiTheme="minorHAnsi" w:cstheme="minorHAnsi"/>
          <w:sz w:val="22"/>
          <w:szCs w:val="22"/>
        </w:rPr>
        <w:t xml:space="preserve"> – ACCUEIL DE LA CLIENTÈLE ÉTRANGÈRE</w:t>
      </w:r>
    </w:p>
    <w:p w14:paraId="69DFAAF4" w14:textId="77777777" w:rsidR="00C20869" w:rsidRPr="00B87E0C" w:rsidRDefault="00C20869" w:rsidP="00AE25C5">
      <w:pPr>
        <w:pStyle w:val="Titre11"/>
        <w:jc w:val="both"/>
        <w:rPr>
          <w:rFonts w:asciiTheme="minorHAnsi" w:hAnsiTheme="minorHAnsi" w:cstheme="minorHAnsi"/>
          <w:sz w:val="8"/>
          <w:szCs w:val="8"/>
        </w:rPr>
      </w:pPr>
    </w:p>
    <w:p w14:paraId="45A52057" w14:textId="201F6062" w:rsidR="00EB6970" w:rsidRPr="00C20869" w:rsidRDefault="00EB6970" w:rsidP="00AE25C5">
      <w:pPr>
        <w:ind w:left="284"/>
        <w:jc w:val="both"/>
        <w:rPr>
          <w:rFonts w:cstheme="minorHAnsi"/>
        </w:rPr>
      </w:pPr>
      <w:r w:rsidRPr="00C20869">
        <w:rPr>
          <w:rFonts w:cstheme="minorHAnsi"/>
        </w:rPr>
        <w:t>L’établissement doit être en mesure d’accueillir et d’informer la clientèle étrangère. Il pourra à minima :</w:t>
      </w:r>
    </w:p>
    <w:p w14:paraId="6EC1458C" w14:textId="4E535929" w:rsidR="00EB6970" w:rsidRPr="00C20869" w:rsidRDefault="00EB6970" w:rsidP="00AE25C5">
      <w:pPr>
        <w:pStyle w:val="Paragraphedeliste"/>
        <w:numPr>
          <w:ilvl w:val="0"/>
          <w:numId w:val="4"/>
        </w:numPr>
        <w:ind w:left="993"/>
        <w:jc w:val="both"/>
        <w:rPr>
          <w:rFonts w:cstheme="minorHAnsi"/>
        </w:rPr>
      </w:pPr>
      <w:r w:rsidRPr="00C20869">
        <w:rPr>
          <w:rFonts w:cstheme="minorHAnsi"/>
        </w:rPr>
        <w:t>Proposer son menu en deux langues étrangères</w:t>
      </w:r>
    </w:p>
    <w:p w14:paraId="556F4A8F" w14:textId="2E8F0C2A" w:rsidR="00EB6970" w:rsidRPr="00C20869" w:rsidRDefault="00EB6970" w:rsidP="00AE25C5">
      <w:pPr>
        <w:pStyle w:val="Paragraphedeliste"/>
        <w:numPr>
          <w:ilvl w:val="0"/>
          <w:numId w:val="4"/>
        </w:numPr>
        <w:ind w:left="993"/>
        <w:jc w:val="both"/>
        <w:rPr>
          <w:rFonts w:cstheme="minorHAnsi"/>
        </w:rPr>
      </w:pPr>
      <w:r w:rsidRPr="00C20869">
        <w:rPr>
          <w:rFonts w:cstheme="minorHAnsi"/>
        </w:rPr>
        <w:t>Assurer la présence d’au moins un personnel maîtrisant l’anglais ou l’espagnol</w:t>
      </w:r>
    </w:p>
    <w:p w14:paraId="7BA6CC57" w14:textId="334DFD68" w:rsidR="00EB6970" w:rsidRDefault="00EB6970" w:rsidP="00AE25C5">
      <w:pPr>
        <w:ind w:left="284"/>
        <w:jc w:val="both"/>
        <w:rPr>
          <w:rFonts w:cstheme="minorHAnsi"/>
        </w:rPr>
      </w:pPr>
      <w:r w:rsidRPr="00C20869">
        <w:rPr>
          <w:rFonts w:cstheme="minorHAnsi"/>
        </w:rPr>
        <w:t>L</w:t>
      </w:r>
      <w:r w:rsidR="00B87E0C">
        <w:rPr>
          <w:rFonts w:cstheme="minorHAnsi"/>
        </w:rPr>
        <w:t>’exploitant</w:t>
      </w:r>
      <w:r w:rsidRPr="00C20869">
        <w:rPr>
          <w:rFonts w:cstheme="minorHAnsi"/>
        </w:rPr>
        <w:t xml:space="preserve"> détaillera dans son offre le projet qu’il entend proposer afin d’accueillir sur son établissement la clientèle étrangère.</w:t>
      </w:r>
    </w:p>
    <w:p w14:paraId="51FF43F0" w14:textId="48DE4121" w:rsidR="00DD78F8" w:rsidRDefault="00DD78F8" w:rsidP="00AE25C5">
      <w:pPr>
        <w:ind w:left="284"/>
        <w:jc w:val="both"/>
        <w:rPr>
          <w:rFonts w:cstheme="minorHAnsi"/>
        </w:rPr>
      </w:pPr>
    </w:p>
    <w:p w14:paraId="11755AE5" w14:textId="77777777" w:rsidR="00DD78F8" w:rsidRPr="00C20869" w:rsidRDefault="00DD78F8" w:rsidP="00AE25C5">
      <w:pPr>
        <w:ind w:left="284"/>
        <w:jc w:val="both"/>
        <w:rPr>
          <w:rFonts w:cstheme="minorHAnsi"/>
        </w:rPr>
      </w:pPr>
    </w:p>
    <w:p w14:paraId="366AA9BA" w14:textId="0D6F5C19" w:rsidR="00EB6970" w:rsidRDefault="00EB6970" w:rsidP="00AE25C5">
      <w:pPr>
        <w:pStyle w:val="Titre11"/>
        <w:jc w:val="both"/>
        <w:rPr>
          <w:rFonts w:asciiTheme="minorHAnsi" w:hAnsiTheme="minorHAnsi" w:cstheme="minorHAnsi"/>
          <w:sz w:val="22"/>
          <w:szCs w:val="22"/>
        </w:rPr>
      </w:pPr>
      <w:r w:rsidRPr="00C20869">
        <w:rPr>
          <w:rFonts w:asciiTheme="minorHAnsi" w:hAnsiTheme="minorHAnsi" w:cstheme="minorHAnsi"/>
          <w:sz w:val="22"/>
          <w:szCs w:val="22"/>
        </w:rPr>
        <w:lastRenderedPageBreak/>
        <w:t xml:space="preserve">ARTICLE </w:t>
      </w:r>
      <w:r w:rsidR="00C20869" w:rsidRPr="00C20869">
        <w:rPr>
          <w:rFonts w:asciiTheme="minorHAnsi" w:hAnsiTheme="minorHAnsi" w:cstheme="minorHAnsi"/>
          <w:sz w:val="22"/>
          <w:szCs w:val="22"/>
        </w:rPr>
        <w:t>6</w:t>
      </w:r>
      <w:r w:rsidRPr="00C20869">
        <w:rPr>
          <w:rFonts w:asciiTheme="minorHAnsi" w:hAnsiTheme="minorHAnsi" w:cstheme="minorHAnsi"/>
          <w:sz w:val="22"/>
          <w:szCs w:val="22"/>
        </w:rPr>
        <w:t xml:space="preserve"> – AUTRES</w:t>
      </w:r>
      <w:r w:rsidR="00B465E3">
        <w:rPr>
          <w:rFonts w:asciiTheme="minorHAnsi" w:hAnsiTheme="minorHAnsi" w:cstheme="minorHAnsi"/>
          <w:sz w:val="22"/>
          <w:szCs w:val="22"/>
        </w:rPr>
        <w:t xml:space="preserve"> OBLIGATIONS</w:t>
      </w:r>
    </w:p>
    <w:p w14:paraId="6BB33C69" w14:textId="77777777" w:rsidR="00C20869" w:rsidRPr="00C20869" w:rsidRDefault="00C20869" w:rsidP="00AE25C5">
      <w:pPr>
        <w:pStyle w:val="Titre11"/>
        <w:jc w:val="both"/>
        <w:rPr>
          <w:rFonts w:asciiTheme="minorHAnsi" w:hAnsiTheme="minorHAnsi" w:cstheme="minorHAnsi"/>
          <w:sz w:val="22"/>
          <w:szCs w:val="22"/>
        </w:rPr>
      </w:pPr>
    </w:p>
    <w:p w14:paraId="1E46C0AC" w14:textId="5139953C" w:rsidR="00E43BBB" w:rsidRPr="00C20869" w:rsidRDefault="00E43BBB" w:rsidP="00AE25C5">
      <w:pPr>
        <w:ind w:left="284"/>
        <w:jc w:val="both"/>
        <w:rPr>
          <w:rFonts w:cstheme="minorHAnsi"/>
        </w:rPr>
      </w:pPr>
      <w:r w:rsidRPr="00C20869">
        <w:rPr>
          <w:rFonts w:cstheme="minorHAnsi"/>
        </w:rPr>
        <w:t xml:space="preserve">Les tables devront être équipées de cendriers </w:t>
      </w:r>
      <w:r w:rsidR="00255518" w:rsidRPr="00C20869">
        <w:rPr>
          <w:rFonts w:cstheme="minorHAnsi"/>
        </w:rPr>
        <w:t>fermés,</w:t>
      </w:r>
      <w:r w:rsidRPr="00C20869">
        <w:rPr>
          <w:rFonts w:cstheme="minorHAnsi"/>
        </w:rPr>
        <w:t xml:space="preserve"> afin d’éviter la dispersion des mégots de cigarette su</w:t>
      </w:r>
      <w:r w:rsidR="008937AF">
        <w:rPr>
          <w:rFonts w:cstheme="minorHAnsi"/>
        </w:rPr>
        <w:t>r</w:t>
      </w:r>
      <w:r w:rsidRPr="00C20869">
        <w:rPr>
          <w:rFonts w:cstheme="minorHAnsi"/>
        </w:rPr>
        <w:t xml:space="preserve"> le domaine public.</w:t>
      </w:r>
    </w:p>
    <w:p w14:paraId="28F5614C" w14:textId="4B1EC701" w:rsidR="00E43BBB" w:rsidRPr="00C20869" w:rsidRDefault="00E43BBB" w:rsidP="00AE25C5">
      <w:pPr>
        <w:ind w:left="284"/>
        <w:jc w:val="both"/>
        <w:rPr>
          <w:rFonts w:cstheme="minorHAnsi"/>
        </w:rPr>
      </w:pPr>
      <w:r w:rsidRPr="00B465E3">
        <w:rPr>
          <w:rFonts w:cstheme="minorHAnsi"/>
        </w:rPr>
        <w:t>La diffusion de musique est autorisée sous réserve que ce soit une musique d’ambiance légère circonscrite à l’emplacement</w:t>
      </w:r>
      <w:r w:rsidRPr="00B465E3">
        <w:rPr>
          <w:rFonts w:cstheme="minorHAnsi"/>
          <w:color w:val="FF0000"/>
        </w:rPr>
        <w:t>.</w:t>
      </w:r>
      <w:r w:rsidR="00B87E0C" w:rsidRPr="00B87E0C">
        <w:rPr>
          <w:rFonts w:cstheme="minorHAnsi"/>
          <w:color w:val="FF0000"/>
        </w:rPr>
        <w:t xml:space="preserve"> </w:t>
      </w:r>
    </w:p>
    <w:p w14:paraId="58AF9358" w14:textId="77777777" w:rsidR="00D45258" w:rsidRPr="00C20869" w:rsidRDefault="00D45258" w:rsidP="00AE25C5">
      <w:pPr>
        <w:jc w:val="both"/>
        <w:rPr>
          <w:rFonts w:cstheme="minorHAnsi"/>
        </w:rPr>
      </w:pPr>
    </w:p>
    <w:p w14:paraId="3EBCB230" w14:textId="37B6AC7B" w:rsidR="00D45258" w:rsidRPr="00C20869" w:rsidRDefault="00D45258" w:rsidP="00AE25C5">
      <w:pPr>
        <w:pStyle w:val="Titre11"/>
        <w:jc w:val="both"/>
        <w:rPr>
          <w:rFonts w:asciiTheme="minorHAnsi" w:hAnsiTheme="minorHAnsi" w:cstheme="minorHAnsi"/>
          <w:sz w:val="22"/>
          <w:szCs w:val="22"/>
        </w:rPr>
      </w:pPr>
      <w:r w:rsidRPr="00C20869">
        <w:rPr>
          <w:rFonts w:asciiTheme="minorHAnsi" w:hAnsiTheme="minorHAnsi" w:cstheme="minorHAnsi"/>
          <w:sz w:val="22"/>
          <w:szCs w:val="22"/>
        </w:rPr>
        <w:t xml:space="preserve">ARTICLE </w:t>
      </w:r>
      <w:r w:rsidR="00C20869" w:rsidRPr="00C20869">
        <w:rPr>
          <w:rFonts w:asciiTheme="minorHAnsi" w:hAnsiTheme="minorHAnsi" w:cstheme="minorHAnsi"/>
          <w:sz w:val="22"/>
          <w:szCs w:val="22"/>
        </w:rPr>
        <w:t>7</w:t>
      </w:r>
      <w:r w:rsidRPr="00C20869">
        <w:rPr>
          <w:rFonts w:asciiTheme="minorHAnsi" w:hAnsiTheme="minorHAnsi" w:cstheme="minorHAnsi"/>
          <w:sz w:val="22"/>
          <w:szCs w:val="22"/>
        </w:rPr>
        <w:t xml:space="preserve"> – ÉTATS DES LIEUX</w:t>
      </w:r>
    </w:p>
    <w:p w14:paraId="79102F1A" w14:textId="77777777" w:rsidR="00812978" w:rsidRPr="00C20869" w:rsidRDefault="00812978" w:rsidP="00AE25C5">
      <w:pPr>
        <w:pStyle w:val="Titre11"/>
        <w:jc w:val="both"/>
        <w:rPr>
          <w:rFonts w:asciiTheme="minorHAnsi" w:hAnsiTheme="minorHAnsi" w:cstheme="minorHAnsi"/>
          <w:b w:val="0"/>
          <w:bCs/>
          <w:sz w:val="22"/>
          <w:szCs w:val="22"/>
          <w:u w:val="none"/>
        </w:rPr>
      </w:pPr>
    </w:p>
    <w:p w14:paraId="112A3457" w14:textId="0D01F79D" w:rsidR="00812978" w:rsidRPr="00C20869" w:rsidRDefault="00812978" w:rsidP="00AE25C5">
      <w:pPr>
        <w:pStyle w:val="Titre11"/>
        <w:ind w:left="284"/>
        <w:jc w:val="both"/>
        <w:rPr>
          <w:rFonts w:asciiTheme="minorHAnsi" w:hAnsiTheme="minorHAnsi" w:cstheme="minorHAnsi"/>
          <w:b w:val="0"/>
          <w:bCs/>
          <w:sz w:val="22"/>
          <w:szCs w:val="22"/>
          <w:u w:val="none"/>
        </w:rPr>
      </w:pPr>
      <w:r w:rsidRPr="00C20869">
        <w:rPr>
          <w:rFonts w:asciiTheme="minorHAnsi" w:hAnsiTheme="minorHAnsi" w:cstheme="minorHAnsi"/>
          <w:b w:val="0"/>
          <w:bCs/>
          <w:sz w:val="22"/>
          <w:szCs w:val="22"/>
          <w:u w:val="none"/>
        </w:rPr>
        <w:t>Un état des lieux contradictoire sera effectué par les services de la ville</w:t>
      </w:r>
      <w:r w:rsidR="00255518">
        <w:rPr>
          <w:rFonts w:asciiTheme="minorHAnsi" w:hAnsiTheme="minorHAnsi" w:cstheme="minorHAnsi"/>
          <w:b w:val="0"/>
          <w:bCs/>
          <w:sz w:val="22"/>
          <w:szCs w:val="22"/>
          <w:u w:val="none"/>
        </w:rPr>
        <w:t xml:space="preserve"> (DAGR)</w:t>
      </w:r>
      <w:r w:rsidRPr="00C20869">
        <w:rPr>
          <w:rFonts w:asciiTheme="minorHAnsi" w:hAnsiTheme="minorHAnsi" w:cstheme="minorHAnsi"/>
          <w:b w:val="0"/>
          <w:bCs/>
          <w:sz w:val="22"/>
          <w:szCs w:val="22"/>
          <w:u w:val="none"/>
        </w:rPr>
        <w:t xml:space="preserve"> au moment de remise des clefs au bénéficiaire et sera joint </w:t>
      </w:r>
      <w:r w:rsidR="00255518" w:rsidRPr="00C20869">
        <w:rPr>
          <w:rFonts w:asciiTheme="minorHAnsi" w:hAnsiTheme="minorHAnsi" w:cstheme="minorHAnsi"/>
          <w:b w:val="0"/>
          <w:bCs/>
          <w:sz w:val="22"/>
          <w:szCs w:val="22"/>
          <w:u w:val="none"/>
        </w:rPr>
        <w:t>à l’AOT</w:t>
      </w:r>
      <w:r w:rsidRPr="00C20869">
        <w:rPr>
          <w:rFonts w:asciiTheme="minorHAnsi" w:hAnsiTheme="minorHAnsi" w:cstheme="minorHAnsi"/>
          <w:b w:val="0"/>
          <w:bCs/>
          <w:sz w:val="22"/>
          <w:szCs w:val="22"/>
          <w:u w:val="none"/>
        </w:rPr>
        <w:t>.</w:t>
      </w:r>
    </w:p>
    <w:p w14:paraId="272252C3" w14:textId="25B5CA27" w:rsidR="00812978" w:rsidRPr="00C20869" w:rsidRDefault="00812978" w:rsidP="00AE25C5">
      <w:pPr>
        <w:pStyle w:val="Titre11"/>
        <w:ind w:left="284"/>
        <w:jc w:val="both"/>
        <w:rPr>
          <w:rFonts w:asciiTheme="minorHAnsi" w:hAnsiTheme="minorHAnsi" w:cstheme="minorHAnsi"/>
          <w:b w:val="0"/>
          <w:bCs/>
          <w:sz w:val="22"/>
          <w:szCs w:val="22"/>
          <w:u w:val="none"/>
        </w:rPr>
      </w:pPr>
      <w:r w:rsidRPr="00C20869">
        <w:rPr>
          <w:rFonts w:asciiTheme="minorHAnsi" w:hAnsiTheme="minorHAnsi" w:cstheme="minorHAnsi"/>
          <w:b w:val="0"/>
          <w:bCs/>
          <w:sz w:val="22"/>
          <w:szCs w:val="22"/>
          <w:u w:val="none"/>
        </w:rPr>
        <w:t xml:space="preserve">Chaque année, durant le quatrième trimestre, une visite technique sera effectuée par les services de la ville pour faire un </w:t>
      </w:r>
      <w:r w:rsidR="00C20869" w:rsidRPr="00C20869">
        <w:rPr>
          <w:rFonts w:asciiTheme="minorHAnsi" w:hAnsiTheme="minorHAnsi" w:cstheme="minorHAnsi"/>
          <w:b w:val="0"/>
          <w:bCs/>
          <w:sz w:val="22"/>
          <w:szCs w:val="22"/>
          <w:u w:val="none"/>
        </w:rPr>
        <w:t>bilan du</w:t>
      </w:r>
      <w:r w:rsidRPr="00C20869">
        <w:rPr>
          <w:rFonts w:asciiTheme="minorHAnsi" w:hAnsiTheme="minorHAnsi" w:cstheme="minorHAnsi"/>
          <w:b w:val="0"/>
          <w:bCs/>
          <w:sz w:val="22"/>
          <w:szCs w:val="22"/>
          <w:u w:val="none"/>
        </w:rPr>
        <w:t xml:space="preserve"> vieillissement du local. </w:t>
      </w:r>
    </w:p>
    <w:p w14:paraId="0556F933" w14:textId="16D69247" w:rsidR="00812978" w:rsidRDefault="00D45258" w:rsidP="00AE25C5">
      <w:pPr>
        <w:ind w:left="284"/>
        <w:jc w:val="both"/>
        <w:rPr>
          <w:rFonts w:cstheme="minorHAnsi"/>
        </w:rPr>
      </w:pPr>
      <w:r w:rsidRPr="00C20869">
        <w:rPr>
          <w:rFonts w:cstheme="minorHAnsi"/>
        </w:rPr>
        <w:t xml:space="preserve"> </w:t>
      </w:r>
      <w:r w:rsidR="00812978" w:rsidRPr="00C20869">
        <w:rPr>
          <w:rFonts w:cstheme="minorHAnsi"/>
        </w:rPr>
        <w:t>Le bénéficiaire</w:t>
      </w:r>
      <w:r w:rsidRPr="00C20869">
        <w:rPr>
          <w:rFonts w:cstheme="minorHAnsi"/>
        </w:rPr>
        <w:t xml:space="preserve"> ne pourra exercer à l’encontre de la Commune aucun recours en raison de la nature du sol, du sous-sol. </w:t>
      </w:r>
      <w:r w:rsidR="00812978" w:rsidRPr="00C20869">
        <w:rPr>
          <w:rFonts w:cstheme="minorHAnsi"/>
        </w:rPr>
        <w:t xml:space="preserve">Il </w:t>
      </w:r>
      <w:r w:rsidRPr="00C20869">
        <w:rPr>
          <w:rFonts w:cstheme="minorHAnsi"/>
        </w:rPr>
        <w:t xml:space="preserve">ne peut </w:t>
      </w:r>
      <w:r w:rsidR="00812978" w:rsidRPr="00C20869">
        <w:rPr>
          <w:rFonts w:cstheme="minorHAnsi"/>
        </w:rPr>
        <w:t xml:space="preserve">également </w:t>
      </w:r>
      <w:r w:rsidRPr="00C20869">
        <w:rPr>
          <w:rFonts w:cstheme="minorHAnsi"/>
        </w:rPr>
        <w:t>réclamer aucune indemnité à l’encontre de la Commune et de l’Etat en cas de modification ou de dégâts occasionnés aux installations du fait de l’action de la mer ou d’un autre phénomène naturel.</w:t>
      </w:r>
    </w:p>
    <w:p w14:paraId="40B67D71" w14:textId="77777777" w:rsidR="004203C8" w:rsidRPr="00C20869" w:rsidRDefault="004203C8" w:rsidP="00AE25C5">
      <w:pPr>
        <w:jc w:val="both"/>
        <w:rPr>
          <w:rFonts w:cstheme="minorHAnsi"/>
        </w:rPr>
      </w:pPr>
    </w:p>
    <w:p w14:paraId="55F1BF1E" w14:textId="06B73B76" w:rsidR="0051280F" w:rsidRPr="00C20869" w:rsidRDefault="0051280F" w:rsidP="00AE25C5">
      <w:pPr>
        <w:pStyle w:val="Titre11"/>
        <w:jc w:val="both"/>
        <w:rPr>
          <w:rFonts w:asciiTheme="minorHAnsi" w:hAnsiTheme="minorHAnsi" w:cstheme="minorHAnsi"/>
          <w:sz w:val="22"/>
          <w:szCs w:val="22"/>
        </w:rPr>
      </w:pPr>
      <w:r w:rsidRPr="00C20869">
        <w:rPr>
          <w:rFonts w:asciiTheme="minorHAnsi" w:hAnsiTheme="minorHAnsi" w:cstheme="minorHAnsi"/>
          <w:sz w:val="22"/>
          <w:szCs w:val="22"/>
        </w:rPr>
        <w:t xml:space="preserve">ARTICLE </w:t>
      </w:r>
      <w:r w:rsidR="00C20869" w:rsidRPr="00C20869">
        <w:rPr>
          <w:rFonts w:asciiTheme="minorHAnsi" w:hAnsiTheme="minorHAnsi" w:cstheme="minorHAnsi"/>
          <w:sz w:val="22"/>
          <w:szCs w:val="22"/>
        </w:rPr>
        <w:t>8</w:t>
      </w:r>
      <w:r w:rsidRPr="00C20869">
        <w:rPr>
          <w:rFonts w:asciiTheme="minorHAnsi" w:hAnsiTheme="minorHAnsi" w:cstheme="minorHAnsi"/>
          <w:sz w:val="22"/>
          <w:szCs w:val="22"/>
        </w:rPr>
        <w:t xml:space="preserve"> - ASSURANCES</w:t>
      </w:r>
    </w:p>
    <w:p w14:paraId="363DCDDF" w14:textId="77777777" w:rsidR="0051280F" w:rsidRPr="00B87E0C" w:rsidRDefault="0051280F" w:rsidP="00AE25C5">
      <w:pPr>
        <w:tabs>
          <w:tab w:val="left" w:pos="283"/>
          <w:tab w:val="left" w:pos="583"/>
        </w:tabs>
        <w:suppressAutoHyphens/>
        <w:ind w:left="567" w:hanging="567"/>
        <w:jc w:val="both"/>
        <w:rPr>
          <w:rFonts w:cstheme="minorHAnsi"/>
          <w:sz w:val="4"/>
          <w:szCs w:val="4"/>
        </w:rPr>
      </w:pPr>
    </w:p>
    <w:p w14:paraId="017A96D0" w14:textId="07C8A15A" w:rsidR="0051280F" w:rsidRPr="00C20869" w:rsidRDefault="0051280F" w:rsidP="00AE25C5">
      <w:pPr>
        <w:suppressAutoHyphens/>
        <w:ind w:left="284" w:firstLine="1"/>
        <w:jc w:val="both"/>
        <w:rPr>
          <w:rFonts w:cstheme="minorHAnsi"/>
        </w:rPr>
      </w:pPr>
      <w:r w:rsidRPr="00C20869">
        <w:rPr>
          <w:rFonts w:cstheme="minorHAnsi"/>
        </w:rPr>
        <w:t>Le bénéficiaire de l’AOT s’engage à couvrir les conséquences pécuniaires de sa responsabilité civile susceptible d’être engagée du fait de ses activités dans tous les cas où elle est recherchée, notamment à la suite de tous dommages (corporels, matériels ou immatériels) causés aux tiers.</w:t>
      </w:r>
    </w:p>
    <w:p w14:paraId="1172162C" w14:textId="36E2A2D5" w:rsidR="0051280F" w:rsidRPr="00C20869" w:rsidRDefault="0051280F" w:rsidP="00AE25C5">
      <w:pPr>
        <w:suppressAutoHyphens/>
        <w:ind w:left="284" w:firstLine="1"/>
        <w:jc w:val="both"/>
        <w:rPr>
          <w:rFonts w:cstheme="minorHAnsi"/>
        </w:rPr>
      </w:pPr>
      <w:r w:rsidRPr="00C20869">
        <w:rPr>
          <w:rFonts w:cstheme="minorHAnsi"/>
        </w:rPr>
        <w:t>La COMMUNE ne pourra être tenue pour responsable des dégradations, vols, occasionnés au matériel contenu dans les cabanes.</w:t>
      </w:r>
    </w:p>
    <w:p w14:paraId="60C943B0" w14:textId="2C62316B" w:rsidR="0051280F" w:rsidRPr="00C20869" w:rsidRDefault="0051280F" w:rsidP="00AE25C5">
      <w:pPr>
        <w:tabs>
          <w:tab w:val="left" w:pos="583"/>
        </w:tabs>
        <w:suppressAutoHyphens/>
        <w:ind w:left="284"/>
        <w:jc w:val="both"/>
        <w:rPr>
          <w:rFonts w:cstheme="minorHAnsi"/>
        </w:rPr>
      </w:pPr>
      <w:r w:rsidRPr="00C20869">
        <w:rPr>
          <w:rFonts w:cstheme="minorHAnsi"/>
        </w:rPr>
        <w:t xml:space="preserve">En conséquence, le bénéficiaire de l’AOT devra contracter une assurance responsabilité civile pour </w:t>
      </w:r>
      <w:r w:rsidRPr="00C20869">
        <w:rPr>
          <w:rFonts w:cstheme="minorHAnsi"/>
          <w:color w:val="000000"/>
        </w:rPr>
        <w:t xml:space="preserve">son exploitation et </w:t>
      </w:r>
      <w:r w:rsidR="005413A4" w:rsidRPr="00C20869">
        <w:rPr>
          <w:rFonts w:cstheme="minorHAnsi"/>
          <w:color w:val="000000"/>
        </w:rPr>
        <w:t>une assurance multir</w:t>
      </w:r>
      <w:r w:rsidR="005413A4">
        <w:rPr>
          <w:rFonts w:cstheme="minorHAnsi"/>
          <w:color w:val="000000"/>
        </w:rPr>
        <w:t>i</w:t>
      </w:r>
      <w:r w:rsidR="005413A4" w:rsidRPr="00C20869">
        <w:rPr>
          <w:rFonts w:cstheme="minorHAnsi"/>
          <w:color w:val="000000"/>
        </w:rPr>
        <w:t>sque</w:t>
      </w:r>
      <w:r w:rsidRPr="00C20869">
        <w:rPr>
          <w:rFonts w:cstheme="minorHAnsi"/>
          <w:color w:val="000000"/>
        </w:rPr>
        <w:t xml:space="preserve"> pour la structure. </w:t>
      </w:r>
    </w:p>
    <w:p w14:paraId="60F77EF1" w14:textId="149B1E09" w:rsidR="0051280F" w:rsidRPr="00C20869" w:rsidRDefault="0051280F" w:rsidP="00AE25C5">
      <w:pPr>
        <w:tabs>
          <w:tab w:val="left" w:pos="583"/>
        </w:tabs>
        <w:suppressAutoHyphens/>
        <w:ind w:left="284"/>
        <w:jc w:val="both"/>
        <w:rPr>
          <w:rFonts w:cstheme="minorHAnsi"/>
        </w:rPr>
      </w:pPr>
      <w:r w:rsidRPr="00C20869">
        <w:rPr>
          <w:rFonts w:cstheme="minorHAnsi"/>
          <w:color w:val="000000"/>
        </w:rPr>
        <w:t>Il devra fournir à la Commune, et ce chaque année, une attestation d’assurance en cours de validité.</w:t>
      </w:r>
    </w:p>
    <w:p w14:paraId="67197F73" w14:textId="3490B826" w:rsidR="0051280F" w:rsidRPr="00C20869" w:rsidRDefault="0051280F" w:rsidP="00AE25C5">
      <w:pPr>
        <w:tabs>
          <w:tab w:val="left" w:pos="583"/>
        </w:tabs>
        <w:suppressAutoHyphens/>
        <w:ind w:left="284"/>
        <w:jc w:val="both"/>
        <w:rPr>
          <w:rFonts w:cstheme="minorHAnsi"/>
        </w:rPr>
      </w:pPr>
      <w:r w:rsidRPr="00C20869">
        <w:rPr>
          <w:rFonts w:cstheme="minorHAnsi"/>
        </w:rPr>
        <w:t>La COMMUNE décline toute responsabilité concernant des actes de malveillance ou des dommages subis par l’occupant du fait des dégâts causés par l’action du vent ou de l’océan.</w:t>
      </w:r>
    </w:p>
    <w:p w14:paraId="2EF553C3" w14:textId="77777777" w:rsidR="003E1FC6" w:rsidRPr="00C20869" w:rsidRDefault="003E1FC6" w:rsidP="00AE25C5">
      <w:pPr>
        <w:tabs>
          <w:tab w:val="left" w:pos="583"/>
        </w:tabs>
        <w:suppressAutoHyphens/>
        <w:jc w:val="both"/>
        <w:rPr>
          <w:rFonts w:cstheme="minorHAnsi"/>
        </w:rPr>
      </w:pPr>
    </w:p>
    <w:p w14:paraId="583B48E0" w14:textId="0BF04E0E" w:rsidR="0051280F" w:rsidRPr="00C20869" w:rsidRDefault="0051280F" w:rsidP="00AE25C5">
      <w:pPr>
        <w:pStyle w:val="Titre11"/>
        <w:jc w:val="both"/>
        <w:rPr>
          <w:rFonts w:asciiTheme="minorHAnsi" w:hAnsiTheme="minorHAnsi" w:cstheme="minorHAnsi"/>
          <w:sz w:val="22"/>
          <w:szCs w:val="22"/>
        </w:rPr>
      </w:pPr>
      <w:r w:rsidRPr="00C20869">
        <w:rPr>
          <w:rFonts w:asciiTheme="minorHAnsi" w:hAnsiTheme="minorHAnsi" w:cstheme="minorHAnsi"/>
          <w:sz w:val="22"/>
          <w:szCs w:val="22"/>
        </w:rPr>
        <w:t xml:space="preserve">ARTICLE </w:t>
      </w:r>
      <w:r w:rsidR="00C20869" w:rsidRPr="00C20869">
        <w:rPr>
          <w:rFonts w:asciiTheme="minorHAnsi" w:hAnsiTheme="minorHAnsi" w:cstheme="minorHAnsi"/>
          <w:sz w:val="22"/>
          <w:szCs w:val="22"/>
        </w:rPr>
        <w:t>9</w:t>
      </w:r>
      <w:r w:rsidRPr="00C20869">
        <w:rPr>
          <w:rFonts w:asciiTheme="minorHAnsi" w:hAnsiTheme="minorHAnsi" w:cstheme="minorHAnsi"/>
          <w:sz w:val="22"/>
          <w:szCs w:val="22"/>
        </w:rPr>
        <w:t xml:space="preserve"> - RESILIATION DE L’AOT</w:t>
      </w:r>
    </w:p>
    <w:p w14:paraId="75679B01" w14:textId="77777777" w:rsidR="0051280F" w:rsidRPr="00B87E0C" w:rsidRDefault="0051280F" w:rsidP="00AE25C5">
      <w:pPr>
        <w:jc w:val="both"/>
        <w:rPr>
          <w:rFonts w:cstheme="minorHAnsi"/>
          <w:sz w:val="4"/>
          <w:szCs w:val="4"/>
        </w:rPr>
      </w:pPr>
    </w:p>
    <w:p w14:paraId="22B26934" w14:textId="77777777" w:rsidR="0051280F" w:rsidRPr="00C20869" w:rsidRDefault="0051280F" w:rsidP="00AE25C5">
      <w:pPr>
        <w:tabs>
          <w:tab w:val="left" w:pos="283"/>
        </w:tabs>
        <w:suppressAutoHyphens/>
        <w:ind w:left="283" w:firstLine="1"/>
        <w:jc w:val="both"/>
        <w:rPr>
          <w:rFonts w:cstheme="minorHAnsi"/>
        </w:rPr>
      </w:pPr>
      <w:r w:rsidRPr="00C20869">
        <w:rPr>
          <w:rFonts w:cstheme="minorHAnsi"/>
        </w:rPr>
        <w:t xml:space="preserve">a) </w:t>
      </w:r>
      <w:r w:rsidRPr="00C20869">
        <w:rPr>
          <w:rFonts w:cstheme="minorHAnsi"/>
        </w:rPr>
        <w:tab/>
      </w:r>
      <w:r w:rsidRPr="00C20869">
        <w:rPr>
          <w:rFonts w:cstheme="minorHAnsi"/>
          <w:u w:val="single"/>
        </w:rPr>
        <w:t>Résiliation par l’occupant</w:t>
      </w:r>
    </w:p>
    <w:p w14:paraId="4D916881" w14:textId="5E2CB6BE" w:rsidR="0051280F" w:rsidRDefault="0051280F" w:rsidP="00AE25C5">
      <w:pPr>
        <w:tabs>
          <w:tab w:val="left" w:pos="255"/>
        </w:tabs>
        <w:suppressAutoHyphens/>
        <w:ind w:left="283" w:firstLine="1"/>
        <w:jc w:val="both"/>
        <w:rPr>
          <w:rFonts w:cstheme="minorHAnsi"/>
        </w:rPr>
      </w:pPr>
      <w:r w:rsidRPr="00C20869">
        <w:rPr>
          <w:rFonts w:cstheme="minorHAnsi"/>
        </w:rPr>
        <w:tab/>
        <w:t xml:space="preserve">L’occupant pourra demander à la COMMUNE la résiliation de l’autorisation qui lui aura été accordée. Il devra présenter sa demande </w:t>
      </w:r>
      <w:r w:rsidRPr="00C20869">
        <w:rPr>
          <w:rFonts w:cstheme="minorHAnsi"/>
          <w:u w:val="single"/>
        </w:rPr>
        <w:t>deux mois</w:t>
      </w:r>
      <w:r w:rsidRPr="00C20869">
        <w:rPr>
          <w:rFonts w:cstheme="minorHAnsi"/>
        </w:rPr>
        <w:t xml:space="preserve"> au moins avant l’échéance annuelle (31 décembre), par lettre recommandée avec accusé de réception adressée à la COMMUNE, qui l’acceptera, étant entendu que cette mesure ne saurait donner lieu à aucune indemnité au profit de l’occupant.</w:t>
      </w:r>
    </w:p>
    <w:p w14:paraId="746B6FA9" w14:textId="58A7A206" w:rsidR="00DD78F8" w:rsidRDefault="00DD78F8" w:rsidP="00AE25C5">
      <w:pPr>
        <w:tabs>
          <w:tab w:val="left" w:pos="255"/>
        </w:tabs>
        <w:suppressAutoHyphens/>
        <w:ind w:left="283" w:firstLine="1"/>
        <w:jc w:val="both"/>
        <w:rPr>
          <w:rFonts w:cstheme="minorHAnsi"/>
        </w:rPr>
      </w:pPr>
    </w:p>
    <w:p w14:paraId="31FFB54B" w14:textId="77777777" w:rsidR="00DD78F8" w:rsidRPr="00C20869" w:rsidRDefault="00DD78F8" w:rsidP="00AE25C5">
      <w:pPr>
        <w:tabs>
          <w:tab w:val="left" w:pos="255"/>
        </w:tabs>
        <w:suppressAutoHyphens/>
        <w:ind w:left="283" w:firstLine="1"/>
        <w:jc w:val="both"/>
        <w:rPr>
          <w:rFonts w:cstheme="minorHAnsi"/>
        </w:rPr>
      </w:pPr>
    </w:p>
    <w:p w14:paraId="5E62F1C1" w14:textId="77777777" w:rsidR="0051280F" w:rsidRPr="00C20869" w:rsidRDefault="0051280F" w:rsidP="00AE25C5">
      <w:pPr>
        <w:tabs>
          <w:tab w:val="left" w:pos="345"/>
        </w:tabs>
        <w:suppressAutoHyphens/>
        <w:ind w:left="283" w:firstLine="1"/>
        <w:jc w:val="both"/>
        <w:rPr>
          <w:rFonts w:cstheme="minorHAnsi"/>
        </w:rPr>
      </w:pPr>
      <w:r w:rsidRPr="00C20869">
        <w:rPr>
          <w:rFonts w:cstheme="minorHAnsi"/>
        </w:rPr>
        <w:lastRenderedPageBreak/>
        <w:t xml:space="preserve">b) </w:t>
      </w:r>
      <w:r w:rsidRPr="00C20869">
        <w:rPr>
          <w:rFonts w:cstheme="minorHAnsi"/>
        </w:rPr>
        <w:tab/>
      </w:r>
      <w:r w:rsidRPr="00C20869">
        <w:rPr>
          <w:rFonts w:cstheme="minorHAnsi"/>
          <w:u w:val="single"/>
        </w:rPr>
        <w:t>Résiliation par la COMMUNE</w:t>
      </w:r>
    </w:p>
    <w:p w14:paraId="14E1719A" w14:textId="447C5C0A" w:rsidR="0051280F" w:rsidRPr="00C20869" w:rsidRDefault="0051280F" w:rsidP="00DD78F8">
      <w:pPr>
        <w:suppressAutoHyphens/>
        <w:ind w:left="284" w:firstLine="283"/>
        <w:jc w:val="both"/>
        <w:rPr>
          <w:rFonts w:cstheme="minorHAnsi"/>
        </w:rPr>
      </w:pPr>
      <w:r w:rsidRPr="00C20869">
        <w:rPr>
          <w:rFonts w:cstheme="minorHAnsi"/>
        </w:rPr>
        <w:tab/>
        <w:t>1.En sus des clauses de résiliation évoquées dans les articles ci-avant et ne donnant pas droit à indemnisation, la COMMUNE se réserve le droit de résilier l’autorisation d’occupation du domaine public accordée et ce, pour tout motif d’intérêt général.</w:t>
      </w:r>
    </w:p>
    <w:p w14:paraId="27CFD76C" w14:textId="1B2F1FA7" w:rsidR="0051280F" w:rsidRPr="00C20869" w:rsidRDefault="0051280F" w:rsidP="00DD78F8">
      <w:pPr>
        <w:tabs>
          <w:tab w:val="left" w:pos="283"/>
        </w:tabs>
        <w:suppressAutoHyphens/>
        <w:ind w:left="284" w:firstLine="1"/>
        <w:jc w:val="both"/>
        <w:rPr>
          <w:rFonts w:cstheme="minorHAnsi"/>
        </w:rPr>
      </w:pPr>
      <w:r w:rsidRPr="00C20869">
        <w:rPr>
          <w:rFonts w:cstheme="minorHAnsi"/>
        </w:rPr>
        <w:t>La dénonciation de l’AOT par anticipation par la COMMUNE interviendra sans préavis pour des impératifs d’utilisation de l’espace pour des nécessités publiques ou des aménagements publics dont la réalisation ferait apparaître des contraintes de temps, en matière de sécurité ou hygiène publiques notamment.</w:t>
      </w:r>
    </w:p>
    <w:p w14:paraId="6B87FFBB" w14:textId="77777777" w:rsidR="0051280F" w:rsidRPr="00C20869" w:rsidRDefault="0051280F" w:rsidP="00AE25C5">
      <w:pPr>
        <w:tabs>
          <w:tab w:val="left" w:pos="283"/>
          <w:tab w:val="left" w:pos="570"/>
        </w:tabs>
        <w:suppressAutoHyphens/>
        <w:ind w:left="567" w:hanging="567"/>
        <w:jc w:val="both"/>
        <w:rPr>
          <w:rFonts w:cstheme="minorHAnsi"/>
        </w:rPr>
      </w:pPr>
      <w:r w:rsidRPr="00C20869">
        <w:rPr>
          <w:rFonts w:cstheme="minorHAnsi"/>
        </w:rPr>
        <w:tab/>
      </w:r>
    </w:p>
    <w:p w14:paraId="5B6A9D4C" w14:textId="279D8733" w:rsidR="0051280F" w:rsidRPr="00C20869" w:rsidRDefault="0051280F" w:rsidP="00DD78F8">
      <w:pPr>
        <w:tabs>
          <w:tab w:val="left" w:pos="283"/>
          <w:tab w:val="left" w:pos="851"/>
        </w:tabs>
        <w:suppressAutoHyphens/>
        <w:ind w:left="567" w:firstLine="142"/>
        <w:jc w:val="both"/>
        <w:rPr>
          <w:rFonts w:cstheme="minorHAnsi"/>
        </w:rPr>
      </w:pPr>
      <w:r w:rsidRPr="00C20869">
        <w:rPr>
          <w:rFonts w:cstheme="minorHAnsi"/>
        </w:rPr>
        <w:t>2.Résiliation du fait du comportement de l’occupant.</w:t>
      </w:r>
    </w:p>
    <w:p w14:paraId="045BD0FD" w14:textId="555181D4" w:rsidR="003E1FC6" w:rsidRPr="00C20869" w:rsidRDefault="0051280F" w:rsidP="00DD78F8">
      <w:pPr>
        <w:suppressAutoHyphens/>
        <w:ind w:left="284" w:firstLine="284"/>
        <w:jc w:val="both"/>
        <w:rPr>
          <w:rFonts w:cstheme="minorHAnsi"/>
        </w:rPr>
      </w:pPr>
      <w:r w:rsidRPr="00C20869">
        <w:rPr>
          <w:rFonts w:cstheme="minorHAnsi"/>
        </w:rPr>
        <w:tab/>
        <w:t>En sus des clauses de résiliation évoquées dans les articles ci-avant, la COMMUNE pourra résilier l’AOT par simple lettre recommandée avec accusé de réception, au cas d’inexécution par l’occupant de l’une quelconque de ses obligations, quinze jours calendaires après mise en demeure, par lettre recommandée avec accusé de réception, restée en tout ou partie sans effet pendant ce délai.</w:t>
      </w:r>
    </w:p>
    <w:p w14:paraId="1893AC02" w14:textId="02684C51" w:rsidR="00C20869" w:rsidRPr="00C20869" w:rsidRDefault="00812978" w:rsidP="00AE25C5">
      <w:pPr>
        <w:spacing w:line="360" w:lineRule="auto"/>
        <w:jc w:val="both"/>
        <w:rPr>
          <w:rFonts w:cstheme="minorHAnsi"/>
          <w:b/>
          <w:u w:val="single"/>
        </w:rPr>
      </w:pPr>
      <w:r w:rsidRPr="00C20869">
        <w:rPr>
          <w:rFonts w:cstheme="minorHAnsi"/>
          <w:b/>
          <w:u w:val="single"/>
        </w:rPr>
        <w:t xml:space="preserve">ARTICLE </w:t>
      </w:r>
      <w:r w:rsidR="00C20869" w:rsidRPr="00C20869">
        <w:rPr>
          <w:rFonts w:cstheme="minorHAnsi"/>
          <w:b/>
          <w:u w:val="single"/>
        </w:rPr>
        <w:t>10</w:t>
      </w:r>
      <w:r w:rsidRPr="00C20869">
        <w:rPr>
          <w:rFonts w:cstheme="minorHAnsi"/>
          <w:b/>
          <w:u w:val="single"/>
        </w:rPr>
        <w:t xml:space="preserve"> – RÉMUNÉRATION DU DÉLÉGATAIRE</w:t>
      </w:r>
    </w:p>
    <w:p w14:paraId="646BCB23" w14:textId="425B7B68" w:rsidR="0051280F" w:rsidRDefault="00812978" w:rsidP="00AE25C5">
      <w:pPr>
        <w:ind w:left="284"/>
        <w:jc w:val="both"/>
        <w:rPr>
          <w:rFonts w:cstheme="minorHAnsi"/>
        </w:rPr>
      </w:pPr>
      <w:r w:rsidRPr="00C20869">
        <w:rPr>
          <w:rFonts w:cstheme="minorHAnsi"/>
        </w:rPr>
        <w:t>Le bénéficiaire percevra les recettes résultant de l’exploitation de sa concession. La Commune n’est tenue à aucune participation d’aucune sorte. Le délégataire assume le risque d’exploitation.</w:t>
      </w:r>
    </w:p>
    <w:p w14:paraId="4A9A1913" w14:textId="77777777" w:rsidR="006224FC" w:rsidRPr="00C20869" w:rsidRDefault="006224FC" w:rsidP="00AE25C5">
      <w:pPr>
        <w:ind w:left="284"/>
        <w:jc w:val="both"/>
        <w:rPr>
          <w:rFonts w:cstheme="minorHAnsi"/>
        </w:rPr>
      </w:pPr>
    </w:p>
    <w:p w14:paraId="039DCA90" w14:textId="743A7A07" w:rsidR="0051280F" w:rsidRPr="00C20869" w:rsidRDefault="0051280F" w:rsidP="00AE25C5">
      <w:pPr>
        <w:spacing w:line="360" w:lineRule="auto"/>
        <w:jc w:val="both"/>
        <w:rPr>
          <w:rFonts w:cstheme="minorHAnsi"/>
        </w:rPr>
      </w:pPr>
      <w:r w:rsidRPr="00C20869">
        <w:rPr>
          <w:rFonts w:cstheme="minorHAnsi"/>
          <w:b/>
          <w:u w:val="single"/>
        </w:rPr>
        <w:t xml:space="preserve">ARTICLE </w:t>
      </w:r>
      <w:r w:rsidR="00C20869" w:rsidRPr="00C20869">
        <w:rPr>
          <w:rFonts w:cstheme="minorHAnsi"/>
          <w:b/>
          <w:u w:val="single"/>
        </w:rPr>
        <w:t>11</w:t>
      </w:r>
      <w:r w:rsidRPr="00C20869">
        <w:rPr>
          <w:rFonts w:cstheme="minorHAnsi"/>
          <w:b/>
          <w:u w:val="single"/>
        </w:rPr>
        <w:t xml:space="preserve"> - REDEVANCES D’OCCUPATION DU DOMAINE PUBLIC</w:t>
      </w:r>
    </w:p>
    <w:p w14:paraId="17C9E095" w14:textId="739D1DD4" w:rsidR="0051280F" w:rsidRPr="00C20869" w:rsidRDefault="0051280F" w:rsidP="00AE25C5">
      <w:pPr>
        <w:ind w:left="284"/>
        <w:jc w:val="both"/>
        <w:rPr>
          <w:rFonts w:cstheme="minorHAnsi"/>
        </w:rPr>
      </w:pPr>
      <w:r w:rsidRPr="00255518">
        <w:rPr>
          <w:rFonts w:cstheme="minorHAnsi"/>
        </w:rPr>
        <w:t>Pour</w:t>
      </w:r>
      <w:r w:rsidR="00255518" w:rsidRPr="00255518">
        <w:rPr>
          <w:rFonts w:cstheme="minorHAnsi"/>
        </w:rPr>
        <w:t xml:space="preserve"> </w:t>
      </w:r>
      <w:r w:rsidR="00B87E0C" w:rsidRPr="00F747CA">
        <w:rPr>
          <w:rFonts w:cstheme="minorHAnsi"/>
        </w:rPr>
        <w:t>2021</w:t>
      </w:r>
      <w:r w:rsidR="00255518" w:rsidRPr="00F747CA">
        <w:rPr>
          <w:rFonts w:cstheme="minorHAnsi"/>
        </w:rPr>
        <w:t>,</w:t>
      </w:r>
      <w:r w:rsidRPr="00F747CA">
        <w:rPr>
          <w:rFonts w:cstheme="minorHAnsi"/>
        </w:rPr>
        <w:t xml:space="preserve"> </w:t>
      </w:r>
      <w:r w:rsidRPr="00C20869">
        <w:rPr>
          <w:rFonts w:cstheme="minorHAnsi"/>
        </w:rPr>
        <w:t>l’autorisation d’occupation du domaine public est consentie moyennant une redevance annuelle fixée de la manière suivante :</w:t>
      </w:r>
    </w:p>
    <w:p w14:paraId="629FEC79" w14:textId="15DE20C9" w:rsidR="003E1FC6" w:rsidRPr="00C20869" w:rsidRDefault="0051280F" w:rsidP="00DD78F8">
      <w:pPr>
        <w:ind w:left="284" w:firstLine="424"/>
        <w:jc w:val="both"/>
        <w:rPr>
          <w:rFonts w:cstheme="minorHAnsi"/>
        </w:rPr>
      </w:pPr>
      <w:r w:rsidRPr="00C20869">
        <w:rPr>
          <w:rFonts w:cstheme="minorHAnsi"/>
        </w:rPr>
        <w:t>Cabane 5 : face au n° 1, boulevard de la Mer :</w:t>
      </w:r>
      <w:r w:rsidRPr="00C20869">
        <w:rPr>
          <w:rFonts w:cstheme="minorHAnsi"/>
        </w:rPr>
        <w:tab/>
      </w:r>
      <w:r w:rsidRPr="00C20869">
        <w:rPr>
          <w:rFonts w:cstheme="minorHAnsi"/>
        </w:rPr>
        <w:tab/>
        <w:t xml:space="preserve">              </w:t>
      </w:r>
      <w:r w:rsidR="003E1FC6" w:rsidRPr="00C20869">
        <w:rPr>
          <w:rFonts w:cstheme="minorHAnsi"/>
        </w:rPr>
        <w:t>6</w:t>
      </w:r>
      <w:r w:rsidR="0033400A">
        <w:rPr>
          <w:rFonts w:cstheme="minorHAnsi"/>
        </w:rPr>
        <w:t>720</w:t>
      </w:r>
      <w:r w:rsidR="003E1FC6" w:rsidRPr="00C20869">
        <w:rPr>
          <w:rFonts w:cstheme="minorHAnsi"/>
        </w:rPr>
        <w:t>.00</w:t>
      </w:r>
      <w:r w:rsidRPr="00C20869">
        <w:rPr>
          <w:rFonts w:cstheme="minorHAnsi"/>
        </w:rPr>
        <w:t xml:space="preserve"> €</w:t>
      </w:r>
    </w:p>
    <w:p w14:paraId="11F4FB6F" w14:textId="33367477" w:rsidR="0051280F" w:rsidRPr="00C20869" w:rsidRDefault="0051280F" w:rsidP="00AE25C5">
      <w:pPr>
        <w:pStyle w:val="Titre11"/>
        <w:ind w:left="284"/>
        <w:jc w:val="both"/>
        <w:rPr>
          <w:rFonts w:asciiTheme="minorHAnsi" w:hAnsiTheme="minorHAnsi" w:cstheme="minorHAnsi"/>
          <w:sz w:val="22"/>
          <w:szCs w:val="22"/>
        </w:rPr>
      </w:pPr>
      <w:r w:rsidRPr="00C20869">
        <w:rPr>
          <w:rFonts w:asciiTheme="minorHAnsi" w:hAnsiTheme="minorHAnsi" w:cstheme="minorHAnsi"/>
          <w:b w:val="0"/>
          <w:color w:val="000000"/>
          <w:sz w:val="22"/>
          <w:szCs w:val="22"/>
          <w:u w:val="none"/>
        </w:rPr>
        <w:t xml:space="preserve">Pour </w:t>
      </w:r>
      <w:r w:rsidR="003E1FC6" w:rsidRPr="00C20869">
        <w:rPr>
          <w:rFonts w:asciiTheme="minorHAnsi" w:hAnsiTheme="minorHAnsi" w:cstheme="minorHAnsi"/>
          <w:b w:val="0"/>
          <w:color w:val="000000"/>
          <w:sz w:val="22"/>
          <w:szCs w:val="22"/>
          <w:u w:val="none"/>
        </w:rPr>
        <w:t>l</w:t>
      </w:r>
      <w:r w:rsidR="00B87E0C">
        <w:rPr>
          <w:rFonts w:asciiTheme="minorHAnsi" w:hAnsiTheme="minorHAnsi" w:cstheme="minorHAnsi"/>
          <w:b w:val="0"/>
          <w:color w:val="000000"/>
          <w:sz w:val="22"/>
          <w:szCs w:val="22"/>
          <w:u w:val="none"/>
        </w:rPr>
        <w:t>es années 2022,2023,2024,2025 et 2026</w:t>
      </w:r>
      <w:r w:rsidRPr="00C20869">
        <w:rPr>
          <w:rFonts w:asciiTheme="minorHAnsi" w:hAnsiTheme="minorHAnsi" w:cstheme="minorHAnsi"/>
          <w:b w:val="0"/>
          <w:color w:val="000000"/>
          <w:sz w:val="22"/>
          <w:szCs w:val="22"/>
          <w:u w:val="none"/>
        </w:rPr>
        <w:t>, le montant de la redevance sera défini de la manière suivante : montant de la redevance</w:t>
      </w:r>
      <w:r w:rsidR="00B87E0C" w:rsidRPr="00B87E0C">
        <w:rPr>
          <w:rFonts w:asciiTheme="minorHAnsi" w:hAnsiTheme="minorHAnsi" w:cstheme="minorHAnsi"/>
          <w:b w:val="0"/>
          <w:color w:val="FF0000"/>
          <w:sz w:val="22"/>
          <w:szCs w:val="22"/>
          <w:u w:val="none"/>
        </w:rPr>
        <w:t xml:space="preserve"> </w:t>
      </w:r>
      <w:r w:rsidR="00255518" w:rsidRPr="00255518">
        <w:rPr>
          <w:rFonts w:asciiTheme="minorHAnsi" w:hAnsiTheme="minorHAnsi" w:cstheme="minorHAnsi"/>
          <w:b w:val="0"/>
          <w:sz w:val="22"/>
          <w:szCs w:val="22"/>
          <w:u w:val="none"/>
        </w:rPr>
        <w:t>2021</w:t>
      </w:r>
      <w:r w:rsidR="00B87E0C" w:rsidRPr="00B87E0C">
        <w:rPr>
          <w:rFonts w:asciiTheme="minorHAnsi" w:hAnsiTheme="minorHAnsi" w:cstheme="minorHAnsi"/>
          <w:b w:val="0"/>
          <w:color w:val="FF0000"/>
          <w:sz w:val="22"/>
          <w:szCs w:val="22"/>
          <w:u w:val="none"/>
        </w:rPr>
        <w:t xml:space="preserve"> </w:t>
      </w:r>
      <w:r w:rsidR="00B87E0C">
        <w:rPr>
          <w:rFonts w:asciiTheme="minorHAnsi" w:hAnsiTheme="minorHAnsi" w:cstheme="minorHAnsi"/>
          <w:b w:val="0"/>
          <w:color w:val="000000"/>
          <w:sz w:val="22"/>
          <w:szCs w:val="22"/>
          <w:u w:val="none"/>
        </w:rPr>
        <w:t xml:space="preserve">+ </w:t>
      </w:r>
      <w:r w:rsidR="003E1FC6" w:rsidRPr="00C20869">
        <w:rPr>
          <w:rFonts w:asciiTheme="minorHAnsi" w:hAnsiTheme="minorHAnsi" w:cstheme="minorHAnsi"/>
          <w:b w:val="0"/>
          <w:color w:val="000000"/>
          <w:sz w:val="22"/>
          <w:szCs w:val="22"/>
          <w:u w:val="none"/>
        </w:rPr>
        <w:t>montant</w:t>
      </w:r>
      <w:r w:rsidRPr="00C20869">
        <w:rPr>
          <w:rFonts w:asciiTheme="minorHAnsi" w:hAnsiTheme="minorHAnsi" w:cstheme="minorHAnsi"/>
          <w:b w:val="0"/>
          <w:color w:val="000000"/>
          <w:sz w:val="22"/>
          <w:szCs w:val="22"/>
          <w:u w:val="none"/>
        </w:rPr>
        <w:t xml:space="preserve"> correspondant à 2 % du chiffre d’affaires de </w:t>
      </w:r>
      <w:r w:rsidR="00B87E0C">
        <w:rPr>
          <w:rFonts w:asciiTheme="minorHAnsi" w:hAnsiTheme="minorHAnsi" w:cstheme="minorHAnsi"/>
          <w:b w:val="0"/>
          <w:color w:val="000000"/>
          <w:sz w:val="22"/>
          <w:szCs w:val="22"/>
          <w:u w:val="none"/>
        </w:rPr>
        <w:t xml:space="preserve">l’année d’exploitation précédente. </w:t>
      </w:r>
    </w:p>
    <w:p w14:paraId="7E5E87DE" w14:textId="3867286A" w:rsidR="0051280F" w:rsidRPr="00C20869" w:rsidRDefault="0051280F" w:rsidP="00AE25C5">
      <w:pPr>
        <w:pStyle w:val="Titre11"/>
        <w:ind w:left="284"/>
        <w:jc w:val="both"/>
        <w:rPr>
          <w:rFonts w:asciiTheme="minorHAnsi" w:hAnsiTheme="minorHAnsi" w:cstheme="minorHAnsi"/>
          <w:sz w:val="22"/>
          <w:szCs w:val="22"/>
        </w:rPr>
      </w:pPr>
      <w:r w:rsidRPr="00C20869">
        <w:rPr>
          <w:rFonts w:asciiTheme="minorHAnsi" w:hAnsiTheme="minorHAnsi" w:cstheme="minorHAnsi"/>
          <w:b w:val="0"/>
          <w:color w:val="000000"/>
          <w:sz w:val="22"/>
          <w:szCs w:val="22"/>
          <w:u w:val="none"/>
        </w:rPr>
        <w:t>En conséquence, les bénéficiaires de ce</w:t>
      </w:r>
      <w:r w:rsidR="00B87E0C">
        <w:rPr>
          <w:rFonts w:asciiTheme="minorHAnsi" w:hAnsiTheme="minorHAnsi" w:cstheme="minorHAnsi"/>
          <w:b w:val="0"/>
          <w:color w:val="000000"/>
          <w:sz w:val="22"/>
          <w:szCs w:val="22"/>
          <w:u w:val="none"/>
        </w:rPr>
        <w:t>t AOT</w:t>
      </w:r>
      <w:r w:rsidRPr="00C20869">
        <w:rPr>
          <w:rFonts w:asciiTheme="minorHAnsi" w:hAnsiTheme="minorHAnsi" w:cstheme="minorHAnsi"/>
          <w:b w:val="0"/>
          <w:color w:val="000000"/>
          <w:sz w:val="22"/>
          <w:szCs w:val="22"/>
          <w:u w:val="none"/>
        </w:rPr>
        <w:t xml:space="preserve"> devront fournir, dans le courant du 1</w:t>
      </w:r>
      <w:r w:rsidRPr="00C20869">
        <w:rPr>
          <w:rFonts w:asciiTheme="minorHAnsi" w:hAnsiTheme="minorHAnsi" w:cstheme="minorHAnsi"/>
          <w:b w:val="0"/>
          <w:color w:val="000000"/>
          <w:sz w:val="22"/>
          <w:szCs w:val="22"/>
          <w:u w:val="none"/>
          <w:vertAlign w:val="superscript"/>
        </w:rPr>
        <w:t>er</w:t>
      </w:r>
      <w:r w:rsidRPr="00C20869">
        <w:rPr>
          <w:rFonts w:asciiTheme="minorHAnsi" w:hAnsiTheme="minorHAnsi" w:cstheme="minorHAnsi"/>
          <w:b w:val="0"/>
          <w:color w:val="000000"/>
          <w:sz w:val="22"/>
          <w:szCs w:val="22"/>
          <w:u w:val="none"/>
        </w:rPr>
        <w:t xml:space="preserve"> trimestre </w:t>
      </w:r>
      <w:r w:rsidR="003E1FC6" w:rsidRPr="00C20869">
        <w:rPr>
          <w:rFonts w:asciiTheme="minorHAnsi" w:hAnsiTheme="minorHAnsi" w:cstheme="minorHAnsi"/>
          <w:b w:val="0"/>
          <w:color w:val="000000"/>
          <w:sz w:val="22"/>
          <w:szCs w:val="22"/>
          <w:u w:val="none"/>
        </w:rPr>
        <w:t xml:space="preserve">de chaque </w:t>
      </w:r>
      <w:r w:rsidR="00041D5D" w:rsidRPr="00C20869">
        <w:rPr>
          <w:rFonts w:asciiTheme="minorHAnsi" w:hAnsiTheme="minorHAnsi" w:cstheme="minorHAnsi"/>
          <w:b w:val="0"/>
          <w:color w:val="000000"/>
          <w:sz w:val="22"/>
          <w:szCs w:val="22"/>
          <w:u w:val="none"/>
        </w:rPr>
        <w:t>année</w:t>
      </w:r>
      <w:r w:rsidR="00B87E0C">
        <w:rPr>
          <w:rFonts w:asciiTheme="minorHAnsi" w:hAnsiTheme="minorHAnsi" w:cstheme="minorHAnsi"/>
          <w:b w:val="0"/>
          <w:color w:val="000000"/>
          <w:sz w:val="22"/>
          <w:szCs w:val="22"/>
          <w:u w:val="none"/>
        </w:rPr>
        <w:t xml:space="preserve"> 2022, 2023, 2024, 2025 et 2026</w:t>
      </w:r>
      <w:r w:rsidRPr="00C20869">
        <w:rPr>
          <w:rFonts w:asciiTheme="minorHAnsi" w:hAnsiTheme="minorHAnsi" w:cstheme="minorHAnsi"/>
          <w:b w:val="0"/>
          <w:color w:val="000000"/>
          <w:sz w:val="22"/>
          <w:szCs w:val="22"/>
          <w:u w:val="none"/>
        </w:rPr>
        <w:t xml:space="preserve">, les comptes d’exploitation </w:t>
      </w:r>
      <w:r w:rsidRPr="00C20869">
        <w:rPr>
          <w:rFonts w:asciiTheme="minorHAnsi" w:hAnsiTheme="minorHAnsi" w:cstheme="minorHAnsi"/>
          <w:b w:val="0"/>
          <w:color w:val="000000"/>
          <w:sz w:val="22"/>
          <w:szCs w:val="22"/>
        </w:rPr>
        <w:t>certifiés</w:t>
      </w:r>
      <w:r w:rsidRPr="00C20869">
        <w:rPr>
          <w:rFonts w:asciiTheme="minorHAnsi" w:hAnsiTheme="minorHAnsi" w:cstheme="minorHAnsi"/>
          <w:b w:val="0"/>
          <w:color w:val="000000"/>
          <w:sz w:val="22"/>
          <w:szCs w:val="22"/>
          <w:u w:val="none"/>
        </w:rPr>
        <w:t xml:space="preserve"> de l’année précédente.</w:t>
      </w:r>
    </w:p>
    <w:p w14:paraId="0B8F58D8" w14:textId="6A826A5A" w:rsidR="0051280F" w:rsidRPr="00C20869" w:rsidRDefault="0051280F" w:rsidP="00AE25C5">
      <w:pPr>
        <w:pStyle w:val="Titre11"/>
        <w:jc w:val="both"/>
        <w:rPr>
          <w:rFonts w:asciiTheme="minorHAnsi" w:hAnsiTheme="minorHAnsi" w:cstheme="minorHAnsi"/>
          <w:b w:val="0"/>
          <w:bCs/>
          <w:color w:val="000000"/>
          <w:sz w:val="22"/>
          <w:szCs w:val="22"/>
          <w:u w:val="none"/>
        </w:rPr>
      </w:pPr>
    </w:p>
    <w:p w14:paraId="7A6F4632" w14:textId="77777777" w:rsidR="00FA6FFC" w:rsidRPr="00C20869" w:rsidRDefault="00FA6FFC" w:rsidP="00AE25C5">
      <w:pPr>
        <w:pStyle w:val="Titre11"/>
        <w:jc w:val="both"/>
        <w:rPr>
          <w:rFonts w:asciiTheme="minorHAnsi" w:hAnsiTheme="minorHAnsi" w:cstheme="minorHAnsi"/>
          <w:b w:val="0"/>
          <w:bCs/>
          <w:color w:val="000000"/>
          <w:sz w:val="22"/>
          <w:szCs w:val="22"/>
          <w:u w:val="none"/>
        </w:rPr>
      </w:pPr>
    </w:p>
    <w:p w14:paraId="2B751EAC" w14:textId="77777777" w:rsidR="00257210" w:rsidRPr="00C20869" w:rsidRDefault="00257210" w:rsidP="00AE25C5">
      <w:pPr>
        <w:pStyle w:val="Titre11"/>
        <w:jc w:val="both"/>
        <w:rPr>
          <w:rFonts w:asciiTheme="minorHAnsi" w:hAnsiTheme="minorHAnsi" w:cstheme="minorHAnsi"/>
          <w:b w:val="0"/>
          <w:bCs/>
          <w:color w:val="000000"/>
          <w:sz w:val="22"/>
          <w:szCs w:val="22"/>
          <w:u w:val="none"/>
        </w:rPr>
      </w:pPr>
    </w:p>
    <w:p w14:paraId="155512C8" w14:textId="76707F37" w:rsidR="00257210" w:rsidRPr="00C20869" w:rsidRDefault="00257210" w:rsidP="00AE25C5">
      <w:pPr>
        <w:pStyle w:val="Titre11"/>
        <w:spacing w:line="360" w:lineRule="auto"/>
        <w:jc w:val="both"/>
        <w:rPr>
          <w:rFonts w:asciiTheme="minorHAnsi" w:hAnsiTheme="minorHAnsi" w:cstheme="minorHAnsi"/>
          <w:sz w:val="22"/>
          <w:szCs w:val="22"/>
        </w:rPr>
      </w:pPr>
      <w:r w:rsidRPr="00C20869">
        <w:rPr>
          <w:rFonts w:asciiTheme="minorHAnsi" w:hAnsiTheme="minorHAnsi" w:cstheme="minorHAnsi"/>
          <w:sz w:val="22"/>
          <w:szCs w:val="22"/>
        </w:rPr>
        <w:t>ARTICLE 1</w:t>
      </w:r>
      <w:r w:rsidR="00B465E3">
        <w:rPr>
          <w:rFonts w:asciiTheme="minorHAnsi" w:hAnsiTheme="minorHAnsi" w:cstheme="minorHAnsi"/>
          <w:sz w:val="22"/>
          <w:szCs w:val="22"/>
        </w:rPr>
        <w:t>2</w:t>
      </w:r>
      <w:r w:rsidRPr="00C20869">
        <w:rPr>
          <w:rFonts w:asciiTheme="minorHAnsi" w:hAnsiTheme="minorHAnsi" w:cstheme="minorHAnsi"/>
          <w:sz w:val="22"/>
          <w:szCs w:val="22"/>
        </w:rPr>
        <w:t xml:space="preserve"> - REMISE DU RAPPORT ANNUEL</w:t>
      </w:r>
    </w:p>
    <w:p w14:paraId="000E2C67" w14:textId="16420065" w:rsidR="00257210" w:rsidRPr="00B87E0C" w:rsidRDefault="00257210" w:rsidP="00AE25C5">
      <w:pPr>
        <w:pStyle w:val="Titre11"/>
        <w:jc w:val="both"/>
        <w:rPr>
          <w:rFonts w:asciiTheme="minorHAnsi" w:hAnsiTheme="minorHAnsi" w:cstheme="minorHAnsi"/>
          <w:b w:val="0"/>
          <w:bCs/>
          <w:sz w:val="4"/>
          <w:szCs w:val="4"/>
          <w:u w:val="none"/>
        </w:rPr>
      </w:pPr>
    </w:p>
    <w:p w14:paraId="0ABC8D2E" w14:textId="3A9359F5" w:rsidR="00257210" w:rsidRPr="00C20869" w:rsidRDefault="00257210" w:rsidP="00AE25C5">
      <w:pPr>
        <w:pStyle w:val="Titre11"/>
        <w:ind w:left="284"/>
        <w:jc w:val="both"/>
        <w:rPr>
          <w:rFonts w:asciiTheme="minorHAnsi" w:hAnsiTheme="minorHAnsi" w:cstheme="minorHAnsi"/>
          <w:b w:val="0"/>
          <w:bCs/>
          <w:sz w:val="22"/>
          <w:szCs w:val="22"/>
          <w:u w:val="none"/>
        </w:rPr>
      </w:pPr>
      <w:r w:rsidRPr="00C20869">
        <w:rPr>
          <w:rFonts w:asciiTheme="minorHAnsi" w:hAnsiTheme="minorHAnsi" w:cstheme="minorHAnsi"/>
          <w:b w:val="0"/>
          <w:bCs/>
          <w:sz w:val="22"/>
          <w:szCs w:val="22"/>
          <w:u w:val="none"/>
        </w:rPr>
        <w:t xml:space="preserve">Il est demandé au bénéficiaire de fournir un rapport annuel qui comprend </w:t>
      </w:r>
      <w:r w:rsidR="00854E81" w:rsidRPr="00C20869">
        <w:rPr>
          <w:rFonts w:asciiTheme="minorHAnsi" w:hAnsiTheme="minorHAnsi" w:cstheme="minorHAnsi"/>
          <w:b w:val="0"/>
          <w:bCs/>
          <w:sz w:val="22"/>
          <w:szCs w:val="22"/>
          <w:u w:val="none"/>
        </w:rPr>
        <w:t xml:space="preserve">obligatoirement </w:t>
      </w:r>
      <w:r w:rsidRPr="00C20869">
        <w:rPr>
          <w:rFonts w:asciiTheme="minorHAnsi" w:hAnsiTheme="minorHAnsi" w:cstheme="minorHAnsi"/>
          <w:b w:val="0"/>
          <w:bCs/>
          <w:sz w:val="22"/>
          <w:szCs w:val="22"/>
          <w:u w:val="none"/>
        </w:rPr>
        <w:t>l</w:t>
      </w:r>
      <w:r w:rsidR="006224FC" w:rsidRPr="00C20869">
        <w:rPr>
          <w:rFonts w:asciiTheme="minorHAnsi" w:hAnsiTheme="minorHAnsi" w:cstheme="minorHAnsi"/>
          <w:b w:val="0"/>
          <w:bCs/>
          <w:sz w:val="22"/>
          <w:szCs w:val="22"/>
          <w:u w:val="none"/>
        </w:rPr>
        <w:t>e compte annuel de résultat de l'exploitation de la concession rappelant les données présentées l'année précédente au titre du contrat en cours.</w:t>
      </w:r>
    </w:p>
    <w:p w14:paraId="6A75EC12" w14:textId="48EE5052" w:rsidR="00854E81" w:rsidRPr="00C20869" w:rsidRDefault="00854E81" w:rsidP="00AE25C5">
      <w:pPr>
        <w:pStyle w:val="Titre11"/>
        <w:ind w:left="284"/>
        <w:jc w:val="both"/>
        <w:rPr>
          <w:rFonts w:asciiTheme="minorHAnsi" w:hAnsiTheme="minorHAnsi" w:cstheme="minorHAnsi"/>
          <w:b w:val="0"/>
          <w:bCs/>
          <w:sz w:val="22"/>
          <w:szCs w:val="22"/>
          <w:u w:val="none"/>
        </w:rPr>
      </w:pPr>
    </w:p>
    <w:p w14:paraId="798C3533" w14:textId="7E7986F8" w:rsidR="00854E81" w:rsidRDefault="00854E81" w:rsidP="00AE25C5">
      <w:pPr>
        <w:pStyle w:val="Titre11"/>
        <w:ind w:left="284"/>
        <w:jc w:val="both"/>
        <w:rPr>
          <w:rFonts w:asciiTheme="minorHAnsi" w:hAnsiTheme="minorHAnsi" w:cstheme="minorHAnsi"/>
          <w:b w:val="0"/>
          <w:bCs/>
          <w:sz w:val="22"/>
          <w:szCs w:val="22"/>
          <w:u w:val="none"/>
        </w:rPr>
      </w:pPr>
      <w:r w:rsidRPr="00C20869">
        <w:rPr>
          <w:rFonts w:asciiTheme="minorHAnsi" w:hAnsiTheme="minorHAnsi" w:cstheme="minorHAnsi"/>
          <w:b w:val="0"/>
          <w:bCs/>
          <w:sz w:val="22"/>
          <w:szCs w:val="22"/>
          <w:u w:val="none"/>
        </w:rPr>
        <w:t>Ces éléments seront communiqués chaque année et avant le 1</w:t>
      </w:r>
      <w:r w:rsidRPr="00C20869">
        <w:rPr>
          <w:rFonts w:asciiTheme="minorHAnsi" w:hAnsiTheme="minorHAnsi" w:cstheme="minorHAnsi"/>
          <w:b w:val="0"/>
          <w:bCs/>
          <w:sz w:val="22"/>
          <w:szCs w:val="22"/>
          <w:u w:val="none"/>
          <w:vertAlign w:val="superscript"/>
        </w:rPr>
        <w:t>er</w:t>
      </w:r>
      <w:r w:rsidRPr="00C20869">
        <w:rPr>
          <w:rFonts w:asciiTheme="minorHAnsi" w:hAnsiTheme="minorHAnsi" w:cstheme="minorHAnsi"/>
          <w:b w:val="0"/>
          <w:bCs/>
          <w:sz w:val="22"/>
          <w:szCs w:val="22"/>
          <w:u w:val="none"/>
        </w:rPr>
        <w:t xml:space="preserve"> mai</w:t>
      </w:r>
    </w:p>
    <w:p w14:paraId="173BC591" w14:textId="77777777" w:rsidR="00DD78F8" w:rsidRDefault="00DD78F8" w:rsidP="00AE25C5">
      <w:pPr>
        <w:pStyle w:val="Titre11"/>
        <w:ind w:left="284"/>
        <w:jc w:val="both"/>
        <w:rPr>
          <w:rFonts w:asciiTheme="minorHAnsi" w:hAnsiTheme="minorHAnsi" w:cstheme="minorHAnsi"/>
          <w:b w:val="0"/>
          <w:bCs/>
          <w:sz w:val="22"/>
          <w:szCs w:val="22"/>
          <w:u w:val="none"/>
        </w:rPr>
      </w:pPr>
    </w:p>
    <w:p w14:paraId="00D79E6E" w14:textId="77777777" w:rsidR="00FC2DE6" w:rsidRDefault="00FC2DE6" w:rsidP="00AE25C5">
      <w:pPr>
        <w:pStyle w:val="Titre11"/>
        <w:jc w:val="both"/>
        <w:rPr>
          <w:rFonts w:asciiTheme="minorHAnsi" w:hAnsiTheme="minorHAnsi" w:cstheme="minorHAnsi"/>
          <w:b w:val="0"/>
          <w:bCs/>
          <w:sz w:val="22"/>
          <w:szCs w:val="22"/>
          <w:u w:val="none"/>
        </w:rPr>
      </w:pPr>
    </w:p>
    <w:p w14:paraId="044DEDDB" w14:textId="77777777" w:rsidR="00DD78F8" w:rsidRDefault="00DD78F8" w:rsidP="00AE25C5">
      <w:pPr>
        <w:jc w:val="both"/>
        <w:rPr>
          <w:rFonts w:ascii="Calibri" w:hAnsi="Calibri"/>
          <w:b/>
          <w:bCs/>
          <w:color w:val="000000"/>
          <w:u w:val="single"/>
        </w:rPr>
      </w:pPr>
    </w:p>
    <w:p w14:paraId="3F1A1143" w14:textId="750963FE" w:rsidR="00FC2DE6" w:rsidRPr="00255518" w:rsidRDefault="00FC2DE6" w:rsidP="00AE25C5">
      <w:pPr>
        <w:jc w:val="both"/>
        <w:rPr>
          <w:rFonts w:ascii="Calibri" w:hAnsi="Calibri"/>
          <w:b/>
          <w:bCs/>
          <w:color w:val="000000"/>
          <w:u w:val="single"/>
        </w:rPr>
      </w:pPr>
      <w:r w:rsidRPr="00255518">
        <w:rPr>
          <w:rFonts w:ascii="Calibri" w:hAnsi="Calibri"/>
          <w:b/>
          <w:bCs/>
          <w:color w:val="000000"/>
          <w:u w:val="single"/>
        </w:rPr>
        <w:lastRenderedPageBreak/>
        <w:t>ARTICLE 1</w:t>
      </w:r>
      <w:r w:rsidR="00B465E3">
        <w:rPr>
          <w:rFonts w:ascii="Calibri" w:hAnsi="Calibri"/>
          <w:b/>
          <w:bCs/>
          <w:color w:val="000000"/>
          <w:u w:val="single"/>
        </w:rPr>
        <w:t>3</w:t>
      </w:r>
      <w:r w:rsidRPr="00255518">
        <w:rPr>
          <w:rFonts w:ascii="Calibri" w:hAnsi="Calibri"/>
          <w:b/>
          <w:bCs/>
          <w:color w:val="000000"/>
          <w:u w:val="single"/>
        </w:rPr>
        <w:t xml:space="preserve"> – CONTENU DES CANDIDATURES ET DES OFFRES</w:t>
      </w:r>
    </w:p>
    <w:p w14:paraId="66151081" w14:textId="1AB1677A" w:rsidR="00FC2DE6" w:rsidRDefault="00FC2DE6" w:rsidP="00AE25C5">
      <w:pPr>
        <w:ind w:left="284"/>
        <w:jc w:val="both"/>
        <w:rPr>
          <w:rFonts w:ascii="Calibri" w:hAnsi="Calibri"/>
          <w:color w:val="000000"/>
        </w:rPr>
      </w:pPr>
      <w:r>
        <w:rPr>
          <w:rFonts w:ascii="Calibri" w:hAnsi="Calibri"/>
          <w:color w:val="000000"/>
        </w:rPr>
        <w:t xml:space="preserve">Les dossiers à remettre par les candidats comprendront OBLIGATOIREMENT l’ensemble des pièces indiquées aux articles </w:t>
      </w:r>
      <w:r w:rsidR="006224FC">
        <w:rPr>
          <w:rFonts w:ascii="Calibri" w:hAnsi="Calibri"/>
          <w:color w:val="000000"/>
        </w:rPr>
        <w:t>13.a</w:t>
      </w:r>
      <w:r>
        <w:rPr>
          <w:rFonts w:ascii="Calibri" w:hAnsi="Calibri"/>
          <w:color w:val="000000"/>
        </w:rPr>
        <w:t xml:space="preserve"> et </w:t>
      </w:r>
      <w:r w:rsidR="006224FC">
        <w:rPr>
          <w:rFonts w:ascii="Calibri" w:hAnsi="Calibri"/>
          <w:color w:val="000000"/>
        </w:rPr>
        <w:t>13.b</w:t>
      </w:r>
      <w:r>
        <w:rPr>
          <w:rFonts w:ascii="Calibri" w:hAnsi="Calibri"/>
          <w:color w:val="000000"/>
        </w:rPr>
        <w:t xml:space="preserve"> ci-dessous.</w:t>
      </w:r>
    </w:p>
    <w:p w14:paraId="1380F01E" w14:textId="47157D12" w:rsidR="00EC4B1D" w:rsidRDefault="00FC2DE6" w:rsidP="00DD78F8">
      <w:pPr>
        <w:ind w:left="284"/>
        <w:jc w:val="both"/>
        <w:rPr>
          <w:rFonts w:ascii="Calibri" w:hAnsi="Calibri"/>
          <w:color w:val="000000"/>
          <w:sz w:val="8"/>
          <w:szCs w:val="8"/>
        </w:rPr>
      </w:pPr>
      <w:r>
        <w:rPr>
          <w:rFonts w:ascii="Calibri" w:hAnsi="Calibri"/>
          <w:color w:val="000000"/>
        </w:rPr>
        <w:t>Les dossiers de candidature seront rédigés en langue française.</w:t>
      </w:r>
    </w:p>
    <w:p w14:paraId="0E94B5AA" w14:textId="77777777" w:rsidR="00EC4B1D" w:rsidRDefault="00EC4B1D" w:rsidP="00AE25C5">
      <w:pPr>
        <w:jc w:val="both"/>
        <w:rPr>
          <w:rFonts w:ascii="Calibri" w:hAnsi="Calibri"/>
          <w:color w:val="000000"/>
          <w:sz w:val="8"/>
          <w:szCs w:val="8"/>
        </w:rPr>
      </w:pPr>
    </w:p>
    <w:p w14:paraId="7D3DAFAC" w14:textId="0267E05D" w:rsidR="00FC2DE6" w:rsidRPr="004203C8" w:rsidRDefault="00FC2DE6" w:rsidP="00AE25C5">
      <w:pPr>
        <w:pStyle w:val="Paragraphedeliste"/>
        <w:numPr>
          <w:ilvl w:val="0"/>
          <w:numId w:val="7"/>
        </w:numPr>
        <w:jc w:val="both"/>
        <w:rPr>
          <w:rFonts w:ascii="Calibri" w:hAnsi="Calibri" w:cs="Calibri"/>
          <w:b/>
          <w:bCs/>
          <w:u w:val="single"/>
        </w:rPr>
      </w:pPr>
      <w:r w:rsidRPr="004203C8">
        <w:rPr>
          <w:rFonts w:ascii="Calibri" w:hAnsi="Calibri" w:cs="Calibri"/>
          <w:b/>
          <w:bCs/>
          <w:u w:val="single"/>
        </w:rPr>
        <w:t>Dossier de candidature</w:t>
      </w:r>
    </w:p>
    <w:p w14:paraId="428944EF" w14:textId="3CBC05D6" w:rsidR="00FC2DE6" w:rsidRDefault="00FC2DE6" w:rsidP="00AE25C5">
      <w:pPr>
        <w:ind w:left="284"/>
        <w:jc w:val="both"/>
        <w:rPr>
          <w:rFonts w:ascii="Calibri" w:hAnsi="Calibri" w:cs="Calibri"/>
          <w:color w:val="000000"/>
        </w:rPr>
      </w:pPr>
      <w:r>
        <w:rPr>
          <w:rFonts w:ascii="Calibri" w:hAnsi="Calibri" w:cs="Calibri"/>
          <w:color w:val="000000"/>
        </w:rPr>
        <w:t>Le dossier de candidature devra apporter de nombreuses garanties tant juridiques, techniques que financières.</w:t>
      </w:r>
    </w:p>
    <w:p w14:paraId="1438A834" w14:textId="4DAB2D4E" w:rsidR="00EC4B1D" w:rsidRPr="00E270EF" w:rsidRDefault="00EC4B1D" w:rsidP="00DD78F8">
      <w:pPr>
        <w:pStyle w:val="Paragraphedeliste"/>
        <w:numPr>
          <w:ilvl w:val="0"/>
          <w:numId w:val="4"/>
        </w:numPr>
        <w:ind w:left="284"/>
        <w:jc w:val="both"/>
        <w:rPr>
          <w:rFonts w:ascii="Calibri" w:hAnsi="Calibri" w:cs="Calibri"/>
          <w:b/>
          <w:bCs/>
          <w:color w:val="000000"/>
        </w:rPr>
      </w:pPr>
      <w:r w:rsidRPr="00E270EF">
        <w:rPr>
          <w:rFonts w:ascii="Calibri" w:hAnsi="Calibri" w:cs="Calibri"/>
          <w:b/>
          <w:bCs/>
          <w:color w:val="000000"/>
        </w:rPr>
        <w:t>GA</w:t>
      </w:r>
      <w:r w:rsidR="00E270EF" w:rsidRPr="00E270EF">
        <w:rPr>
          <w:rFonts w:ascii="Calibri" w:hAnsi="Calibri" w:cs="Calibri"/>
          <w:b/>
          <w:bCs/>
          <w:color w:val="000000"/>
        </w:rPr>
        <w:t>RAN</w:t>
      </w:r>
      <w:r w:rsidRPr="00E270EF">
        <w:rPr>
          <w:rFonts w:ascii="Calibri" w:hAnsi="Calibri" w:cs="Calibri"/>
          <w:b/>
          <w:bCs/>
          <w:color w:val="000000"/>
        </w:rPr>
        <w:t>TIES JURIDIQUES</w:t>
      </w:r>
    </w:p>
    <w:p w14:paraId="4F5F7A9D" w14:textId="1A81A50E" w:rsidR="00010C76" w:rsidRDefault="00FC2DE6" w:rsidP="00361B8C">
      <w:pPr>
        <w:numPr>
          <w:ilvl w:val="0"/>
          <w:numId w:val="6"/>
        </w:numPr>
        <w:suppressAutoHyphens/>
        <w:autoSpaceDN w:val="0"/>
        <w:spacing w:after="0" w:line="240" w:lineRule="auto"/>
        <w:ind w:left="1418"/>
        <w:jc w:val="both"/>
        <w:textAlignment w:val="baseline"/>
        <w:rPr>
          <w:rFonts w:ascii="Calibri" w:hAnsi="Calibri" w:cs="Calibri"/>
          <w:color w:val="000000"/>
        </w:rPr>
      </w:pPr>
      <w:r>
        <w:rPr>
          <w:rFonts w:ascii="Calibri" w:hAnsi="Calibri" w:cs="Calibri"/>
          <w:color w:val="000000"/>
        </w:rPr>
        <w:t>Lettre de candidature dûment datée et signée</w:t>
      </w:r>
      <w:r w:rsidR="00361B8C">
        <w:rPr>
          <w:rFonts w:ascii="Calibri" w:hAnsi="Calibri" w:cs="Calibri"/>
          <w:color w:val="000000"/>
        </w:rPr>
        <w:t>, comportant à minima les éléments suivants :</w:t>
      </w:r>
    </w:p>
    <w:p w14:paraId="43DE48B6" w14:textId="2C35B085" w:rsidR="00361B8C" w:rsidRDefault="00361B8C" w:rsidP="00361B8C">
      <w:pPr>
        <w:suppressAutoHyphens/>
        <w:autoSpaceDN w:val="0"/>
        <w:spacing w:after="0" w:line="240" w:lineRule="auto"/>
        <w:ind w:left="3540"/>
        <w:jc w:val="both"/>
        <w:textAlignment w:val="baseline"/>
        <w:rPr>
          <w:rFonts w:ascii="Calibri" w:hAnsi="Calibri" w:cs="Calibri"/>
          <w:color w:val="000000"/>
        </w:rPr>
      </w:pPr>
      <w:r>
        <w:rPr>
          <w:rFonts w:ascii="Calibri" w:hAnsi="Calibri" w:cs="Calibri"/>
          <w:color w:val="000000"/>
        </w:rPr>
        <w:t>Identification de l’acheteur (personne physique ou morale)</w:t>
      </w:r>
    </w:p>
    <w:p w14:paraId="1BFCFFC6" w14:textId="4EF42C17" w:rsidR="00361B8C" w:rsidRDefault="00361B8C" w:rsidP="00361B8C">
      <w:pPr>
        <w:suppressAutoHyphens/>
        <w:autoSpaceDN w:val="0"/>
        <w:spacing w:after="0" w:line="240" w:lineRule="auto"/>
        <w:ind w:left="3540"/>
        <w:jc w:val="both"/>
        <w:textAlignment w:val="baseline"/>
        <w:rPr>
          <w:rFonts w:ascii="Calibri" w:hAnsi="Calibri" w:cs="Calibri"/>
          <w:color w:val="000000"/>
        </w:rPr>
      </w:pPr>
      <w:r>
        <w:rPr>
          <w:rFonts w:ascii="Calibri" w:hAnsi="Calibri" w:cs="Calibri"/>
          <w:color w:val="000000"/>
        </w:rPr>
        <w:t>Caractéristiques administratives</w:t>
      </w:r>
    </w:p>
    <w:p w14:paraId="084C3C22" w14:textId="22C1A32D" w:rsidR="00361B8C" w:rsidRDefault="00361B8C" w:rsidP="00361B8C">
      <w:pPr>
        <w:suppressAutoHyphens/>
        <w:autoSpaceDN w:val="0"/>
        <w:spacing w:after="0" w:line="240" w:lineRule="auto"/>
        <w:ind w:left="3540"/>
        <w:jc w:val="both"/>
        <w:textAlignment w:val="baseline"/>
        <w:rPr>
          <w:rFonts w:ascii="Calibri" w:hAnsi="Calibri" w:cs="Calibri"/>
          <w:color w:val="000000"/>
        </w:rPr>
      </w:pPr>
      <w:r>
        <w:rPr>
          <w:rFonts w:ascii="Calibri" w:hAnsi="Calibri" w:cs="Calibri"/>
          <w:color w:val="000000"/>
        </w:rPr>
        <w:t>Forme juridique de l’entreprise</w:t>
      </w:r>
    </w:p>
    <w:p w14:paraId="59EBE241" w14:textId="77777777" w:rsidR="00361B8C" w:rsidRDefault="00361B8C" w:rsidP="00361B8C">
      <w:pPr>
        <w:suppressAutoHyphens/>
        <w:autoSpaceDN w:val="0"/>
        <w:spacing w:after="0" w:line="240" w:lineRule="auto"/>
        <w:ind w:left="3540"/>
        <w:jc w:val="both"/>
        <w:textAlignment w:val="baseline"/>
        <w:rPr>
          <w:rFonts w:ascii="Calibri" w:hAnsi="Calibri" w:cs="Calibri"/>
          <w:color w:val="000000"/>
        </w:rPr>
      </w:pPr>
    </w:p>
    <w:p w14:paraId="1E1BEE95" w14:textId="77777777" w:rsidR="00FC2DE6" w:rsidRDefault="00FC2DE6" w:rsidP="00AE25C5">
      <w:pPr>
        <w:numPr>
          <w:ilvl w:val="0"/>
          <w:numId w:val="6"/>
        </w:numPr>
        <w:suppressAutoHyphens/>
        <w:autoSpaceDN w:val="0"/>
        <w:spacing w:after="0" w:line="240" w:lineRule="auto"/>
        <w:ind w:left="1418"/>
        <w:jc w:val="both"/>
        <w:textAlignment w:val="baseline"/>
        <w:rPr>
          <w:rFonts w:ascii="Calibri" w:hAnsi="Calibri" w:cs="Calibri"/>
          <w:color w:val="000000"/>
        </w:rPr>
      </w:pPr>
      <w:r>
        <w:rPr>
          <w:rFonts w:ascii="Calibri" w:hAnsi="Calibri" w:cs="Calibri"/>
          <w:color w:val="000000"/>
        </w:rPr>
        <w:t>Copie, le cas échéant, du ou des jugements prononcés s’il est en redressement judiciaire, liquidation judiciaire ou faillite personnelle,</w:t>
      </w:r>
    </w:p>
    <w:p w14:paraId="309C9D9A" w14:textId="77777777" w:rsidR="00FC2DE6" w:rsidRDefault="00FC2DE6" w:rsidP="00AE25C5">
      <w:pPr>
        <w:numPr>
          <w:ilvl w:val="0"/>
          <w:numId w:val="6"/>
        </w:numPr>
        <w:suppressAutoHyphens/>
        <w:autoSpaceDN w:val="0"/>
        <w:spacing w:after="0" w:line="240" w:lineRule="auto"/>
        <w:ind w:left="1418"/>
        <w:jc w:val="both"/>
        <w:textAlignment w:val="baseline"/>
        <w:rPr>
          <w:rFonts w:ascii="Calibri" w:hAnsi="Calibri" w:cs="Calibri"/>
          <w:color w:val="000000"/>
        </w:rPr>
      </w:pPr>
      <w:r>
        <w:rPr>
          <w:rFonts w:ascii="Calibri" w:hAnsi="Calibri" w:cs="Calibri"/>
          <w:color w:val="000000"/>
        </w:rPr>
        <w:t>Une déclaration sur l’honneur pour justifier que le candidat n’entre dans aucun des cas suivants :</w:t>
      </w:r>
    </w:p>
    <w:p w14:paraId="0356DDC3" w14:textId="77777777" w:rsidR="00FC2DE6" w:rsidRDefault="00FC2DE6" w:rsidP="00AE25C5">
      <w:pPr>
        <w:jc w:val="both"/>
      </w:pPr>
      <w:r>
        <w:rPr>
          <w:rFonts w:ascii="Calibri" w:hAnsi="Calibri" w:cs="Calibri"/>
          <w:color w:val="000000"/>
        </w:rPr>
        <w:t xml:space="preserve">1. </w:t>
      </w:r>
      <w:r>
        <w:rPr>
          <w:rFonts w:ascii="Calibri" w:hAnsi="Calibri"/>
          <w:color w:val="000000"/>
        </w:rPr>
        <w:t>ne pas avoir fait l’objet, depuis moins de cinq ans, d'une condamnation définitive pour l'une des infractions prévues par les articles suivants  du code pénal : les articles 222-38, 222-40, 313-1 à 313-3, 314-1 à 314-3, 324-1 à 324-6, 421-2-1, le deuxième alinéa de l'article 421-5, l’article 433-1, le deuxième alinéa de l'article 434-9, les articles 435-2, 441-1 à 441-7, les premier et deuxième alinéas de l'article 441-8, l'article 441-9 et l'article 450-1, ou ne pas avoir fait l’objet d’une condamnation pour une infraction de même nature dans un autre État de l’Union Européenne ;</w:t>
      </w:r>
    </w:p>
    <w:p w14:paraId="368639E3" w14:textId="77777777" w:rsidR="00FC2DE6" w:rsidRDefault="00FC2DE6" w:rsidP="00AE25C5">
      <w:pPr>
        <w:jc w:val="both"/>
      </w:pPr>
      <w:r>
        <w:rPr>
          <w:rFonts w:ascii="Calibri" w:hAnsi="Calibri"/>
          <w:color w:val="000000"/>
        </w:rPr>
        <w:t>2.</w:t>
      </w:r>
      <w:r>
        <w:rPr>
          <w:rFonts w:ascii="Calibri" w:hAnsi="Calibri" w:cs="Calibri"/>
          <w:color w:val="000000"/>
        </w:rPr>
        <w:t xml:space="preserve"> ne</w:t>
      </w:r>
      <w:r>
        <w:rPr>
          <w:rFonts w:ascii="Calibri" w:hAnsi="Calibri"/>
          <w:color w:val="000000"/>
        </w:rPr>
        <w:t xml:space="preserve"> pas avoir fait l’objet, depuis moins de cinq ans d’une condamnation définitive pour l’infraction prévue par l'article 1741 du code général des impôts ou une infraction de même nature dans un autre État de l’Union Européenne ;</w:t>
      </w:r>
    </w:p>
    <w:p w14:paraId="56678E35" w14:textId="77777777" w:rsidR="00FC2DE6" w:rsidRDefault="00FC2DE6" w:rsidP="00AE25C5">
      <w:pPr>
        <w:spacing w:line="276" w:lineRule="auto"/>
        <w:jc w:val="both"/>
        <w:rPr>
          <w:rFonts w:ascii="Calibri" w:hAnsi="Calibri"/>
          <w:color w:val="000000"/>
        </w:rPr>
      </w:pPr>
      <w:r>
        <w:rPr>
          <w:rFonts w:ascii="Calibri" w:hAnsi="Calibri"/>
          <w:color w:val="000000"/>
        </w:rPr>
        <w:t>3. ne pas avoir fait l’objet, depuis moins de cinq ans, d’une condamnation inscrite au bulletin n° 2 du casier judiciaire pour les infractions mentionnées aux articles L.324-9, L.324-10, L.341-6, L.125-1 et L.125-3 du code du travail ou des infractions de même nature dans un autre État de l’Union Européenne ;</w:t>
      </w:r>
    </w:p>
    <w:p w14:paraId="5DC771CD" w14:textId="77777777" w:rsidR="00FC2DE6" w:rsidRDefault="00FC2DE6" w:rsidP="00AE25C5">
      <w:pPr>
        <w:spacing w:line="276" w:lineRule="auto"/>
        <w:jc w:val="both"/>
        <w:rPr>
          <w:rFonts w:ascii="Calibri" w:hAnsi="Calibri"/>
          <w:color w:val="000000"/>
        </w:rPr>
      </w:pPr>
      <w:r>
        <w:rPr>
          <w:rFonts w:ascii="Calibri" w:hAnsi="Calibri"/>
          <w:color w:val="000000"/>
        </w:rPr>
        <w:t>4. ne pas être en état de liquidation judiciaire au sens de l'article L. 620-1 du code de commerce ou d’une procédure équivalente régie par un droit étranger ;</w:t>
      </w:r>
    </w:p>
    <w:p w14:paraId="4765AA8D" w14:textId="77777777" w:rsidR="00FC2DE6" w:rsidRDefault="00FC2DE6" w:rsidP="00AE25C5">
      <w:pPr>
        <w:spacing w:line="276" w:lineRule="auto"/>
        <w:jc w:val="both"/>
        <w:rPr>
          <w:rFonts w:ascii="Calibri" w:hAnsi="Calibri"/>
          <w:color w:val="000000"/>
        </w:rPr>
      </w:pPr>
      <w:r>
        <w:rPr>
          <w:rFonts w:ascii="Calibri" w:hAnsi="Calibri"/>
          <w:color w:val="000000"/>
        </w:rPr>
        <w:t>5. ne pas être déclaré en état de faillite personnelle, au sens de l'article L. 625-2 du code de commerce, ou d'une procédure équivalente régie par un droit étranger ;</w:t>
      </w:r>
    </w:p>
    <w:p w14:paraId="224CBE56" w14:textId="68516184" w:rsidR="00FC2DE6" w:rsidRDefault="00FC2DE6" w:rsidP="00AE25C5">
      <w:pPr>
        <w:spacing w:line="276" w:lineRule="auto"/>
        <w:jc w:val="both"/>
        <w:rPr>
          <w:rFonts w:ascii="Calibri" w:hAnsi="Calibri"/>
          <w:color w:val="000000"/>
        </w:rPr>
      </w:pPr>
      <w:r>
        <w:rPr>
          <w:rFonts w:ascii="Calibri" w:hAnsi="Calibri"/>
          <w:color w:val="000000"/>
        </w:rPr>
        <w:t>6. ne pas être admis au redressement judiciaire, au sens de l'article L. 620-1 du code de commerce, ou à une procédure équivalente régie par un droit étranger, sans justifier d’une habilitation à poursuivre son activité pendant la durée prévisible d'exécution du marché ;</w:t>
      </w:r>
    </w:p>
    <w:p w14:paraId="1516F679" w14:textId="77777777" w:rsidR="00AB571E" w:rsidRDefault="00AB571E" w:rsidP="00AE25C5">
      <w:pPr>
        <w:spacing w:line="276" w:lineRule="auto"/>
        <w:jc w:val="both"/>
        <w:rPr>
          <w:rFonts w:ascii="Calibri" w:hAnsi="Calibri"/>
          <w:color w:val="000000"/>
        </w:rPr>
      </w:pPr>
    </w:p>
    <w:p w14:paraId="526A08C9" w14:textId="5286855E" w:rsidR="00EC4B1D" w:rsidRDefault="00FC2DE6" w:rsidP="00AE25C5">
      <w:pPr>
        <w:spacing w:line="276" w:lineRule="auto"/>
        <w:jc w:val="both"/>
        <w:rPr>
          <w:rFonts w:ascii="Calibri" w:hAnsi="Calibri"/>
          <w:color w:val="000000"/>
        </w:rPr>
      </w:pPr>
      <w:r>
        <w:rPr>
          <w:rFonts w:ascii="Calibri" w:hAnsi="Calibri"/>
          <w:color w:val="000000"/>
        </w:rPr>
        <w:lastRenderedPageBreak/>
        <w:t>7.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14:paraId="1D46D694" w14:textId="77777777" w:rsidR="00FC2DE6" w:rsidRDefault="00FC2DE6" w:rsidP="00AE25C5">
      <w:pPr>
        <w:spacing w:line="276" w:lineRule="auto"/>
        <w:jc w:val="both"/>
        <w:rPr>
          <w:rFonts w:ascii="Calibri" w:hAnsi="Calibri"/>
          <w:color w:val="000000"/>
        </w:rPr>
      </w:pPr>
      <w:r>
        <w:rPr>
          <w:rFonts w:ascii="Calibri" w:hAnsi="Calibri"/>
          <w:color w:val="000000"/>
        </w:rPr>
        <w:t>8. être en règle, au cours de l'année précédant celle au cours de laquelle a lieu le lancement de la consultation, au regard des articles L.323-1 et, L.323-8-2 ou L.323-8-5, du code du travail concernant l’emploi des travailleurs handicapés.</w:t>
      </w:r>
    </w:p>
    <w:p w14:paraId="41A2C082" w14:textId="77777777" w:rsidR="00FC2DE6" w:rsidRDefault="00FC2DE6" w:rsidP="00AE25C5">
      <w:pPr>
        <w:numPr>
          <w:ilvl w:val="0"/>
          <w:numId w:val="6"/>
        </w:numPr>
        <w:suppressAutoHyphens/>
        <w:autoSpaceDN w:val="0"/>
        <w:spacing w:after="0" w:line="276" w:lineRule="auto"/>
        <w:ind w:left="1418"/>
        <w:jc w:val="both"/>
        <w:textAlignment w:val="baseline"/>
        <w:rPr>
          <w:rFonts w:ascii="Calibri" w:hAnsi="Calibri"/>
          <w:color w:val="000000"/>
        </w:rPr>
      </w:pPr>
      <w:r>
        <w:rPr>
          <w:rFonts w:ascii="Calibri" w:hAnsi="Calibri"/>
          <w:color w:val="000000"/>
        </w:rPr>
        <w:t xml:space="preserve"> Une déclaration sur l’honneur pour justifier que le candidat répond à la réglementation relative à l’égalité entre les femmes et les hommes,</w:t>
      </w:r>
    </w:p>
    <w:p w14:paraId="1BC025C7" w14:textId="77777777" w:rsidR="00FC2DE6" w:rsidRDefault="00FC2DE6" w:rsidP="00AE25C5">
      <w:pPr>
        <w:numPr>
          <w:ilvl w:val="0"/>
          <w:numId w:val="6"/>
        </w:numPr>
        <w:suppressAutoHyphens/>
        <w:autoSpaceDN w:val="0"/>
        <w:spacing w:after="0" w:line="276" w:lineRule="auto"/>
        <w:ind w:left="1418"/>
        <w:jc w:val="both"/>
        <w:textAlignment w:val="baseline"/>
      </w:pPr>
      <w:r>
        <w:rPr>
          <w:rFonts w:ascii="Calibri" w:hAnsi="Calibri" w:cs="Calibri"/>
          <w:color w:val="000000"/>
        </w:rPr>
        <w:t xml:space="preserve"> Un extrait K-bis ou document similaire et toute précision relative aux articles D.8222-5 ou D.8222-7 et D.8222.8 du Code du Travail,</w:t>
      </w:r>
    </w:p>
    <w:p w14:paraId="35760202" w14:textId="28F00D76" w:rsidR="00FC2DE6" w:rsidRPr="00EC4B1D" w:rsidRDefault="00FC2DE6" w:rsidP="00AE25C5">
      <w:pPr>
        <w:numPr>
          <w:ilvl w:val="0"/>
          <w:numId w:val="6"/>
        </w:numPr>
        <w:suppressAutoHyphens/>
        <w:autoSpaceDN w:val="0"/>
        <w:spacing w:after="0" w:line="276" w:lineRule="auto"/>
        <w:ind w:left="1418"/>
        <w:jc w:val="both"/>
        <w:textAlignment w:val="baseline"/>
      </w:pPr>
      <w:r>
        <w:rPr>
          <w:rFonts w:ascii="Calibri" w:hAnsi="Calibri" w:cs="Calibri"/>
          <w:color w:val="000000"/>
        </w:rPr>
        <w:t xml:space="preserve"> Un engagement écrit de souscription d’assurance professionnelle, notamment en responsabilité civile liée à l’exploitation de son activité.</w:t>
      </w:r>
    </w:p>
    <w:p w14:paraId="1C412BD4" w14:textId="77777777" w:rsidR="00EC4B1D" w:rsidRDefault="00EC4B1D" w:rsidP="00AE25C5">
      <w:pPr>
        <w:suppressAutoHyphens/>
        <w:autoSpaceDN w:val="0"/>
        <w:spacing w:after="0" w:line="276" w:lineRule="auto"/>
        <w:jc w:val="both"/>
        <w:textAlignment w:val="baseline"/>
      </w:pPr>
    </w:p>
    <w:p w14:paraId="65C2E2B8" w14:textId="77777777" w:rsidR="00E270EF" w:rsidRDefault="00E270EF" w:rsidP="00AE25C5">
      <w:pPr>
        <w:suppressAutoHyphens/>
        <w:autoSpaceDN w:val="0"/>
        <w:spacing w:after="0" w:line="276" w:lineRule="auto"/>
        <w:ind w:left="720"/>
        <w:jc w:val="both"/>
        <w:textAlignment w:val="baseline"/>
      </w:pPr>
    </w:p>
    <w:p w14:paraId="008099B8" w14:textId="559881E0" w:rsidR="00E270EF" w:rsidRPr="00E270EF" w:rsidRDefault="00E270EF" w:rsidP="00A824CD">
      <w:pPr>
        <w:pStyle w:val="Paragraphedeliste"/>
        <w:numPr>
          <w:ilvl w:val="0"/>
          <w:numId w:val="4"/>
        </w:numPr>
        <w:ind w:left="426"/>
        <w:jc w:val="both"/>
        <w:rPr>
          <w:rFonts w:ascii="Calibri" w:hAnsi="Calibri" w:cs="Calibri"/>
          <w:b/>
          <w:bCs/>
          <w:color w:val="000000"/>
        </w:rPr>
      </w:pPr>
      <w:r w:rsidRPr="00E270EF">
        <w:rPr>
          <w:rFonts w:ascii="Calibri" w:hAnsi="Calibri" w:cs="Calibri"/>
          <w:b/>
          <w:bCs/>
          <w:color w:val="000000"/>
        </w:rPr>
        <w:t xml:space="preserve">GARANTIES </w:t>
      </w:r>
      <w:r>
        <w:rPr>
          <w:rFonts w:ascii="Calibri" w:hAnsi="Calibri" w:cs="Calibri"/>
          <w:b/>
          <w:bCs/>
          <w:color w:val="000000"/>
        </w:rPr>
        <w:t>TECHNIQUES ET PROFESSIONNELS</w:t>
      </w:r>
    </w:p>
    <w:p w14:paraId="79DFCA25" w14:textId="77777777" w:rsidR="00FC2DE6" w:rsidRDefault="00FC2DE6" w:rsidP="00AE25C5">
      <w:pPr>
        <w:numPr>
          <w:ilvl w:val="0"/>
          <w:numId w:val="6"/>
        </w:numPr>
        <w:suppressAutoHyphens/>
        <w:autoSpaceDN w:val="0"/>
        <w:spacing w:after="0" w:line="276" w:lineRule="auto"/>
        <w:ind w:left="1418"/>
        <w:jc w:val="both"/>
        <w:textAlignment w:val="baseline"/>
        <w:rPr>
          <w:rFonts w:ascii="Calibri" w:hAnsi="Calibri" w:cs="Calibri"/>
          <w:color w:val="000000"/>
        </w:rPr>
      </w:pPr>
      <w:r>
        <w:rPr>
          <w:rFonts w:ascii="Calibri" w:hAnsi="Calibri" w:cs="Calibri"/>
          <w:color w:val="000000"/>
        </w:rPr>
        <w:t xml:space="preserve"> Présentation des références professionnelles dont peuvent se prévaloir les candidats. Les candidats sont invités à présenter leurs références de manière détaillée.</w:t>
      </w:r>
    </w:p>
    <w:p w14:paraId="195AF3DE" w14:textId="42D0C1A0" w:rsidR="00FC2DE6" w:rsidRDefault="00FC2DE6" w:rsidP="00AE25C5">
      <w:pPr>
        <w:numPr>
          <w:ilvl w:val="0"/>
          <w:numId w:val="6"/>
        </w:numPr>
        <w:suppressAutoHyphens/>
        <w:autoSpaceDN w:val="0"/>
        <w:spacing w:after="0" w:line="276" w:lineRule="auto"/>
        <w:ind w:left="1418"/>
        <w:jc w:val="both"/>
        <w:textAlignment w:val="baseline"/>
        <w:rPr>
          <w:rFonts w:ascii="Calibri" w:hAnsi="Calibri" w:cs="Calibri"/>
          <w:color w:val="000000"/>
        </w:rPr>
      </w:pPr>
      <w:r>
        <w:rPr>
          <w:rFonts w:ascii="Calibri" w:hAnsi="Calibri" w:cs="Calibri"/>
          <w:color w:val="000000"/>
        </w:rPr>
        <w:t xml:space="preserve"> </w:t>
      </w:r>
      <w:r w:rsidRPr="00EC4B1D">
        <w:rPr>
          <w:rFonts w:ascii="Calibri" w:hAnsi="Calibri" w:cs="Calibri"/>
          <w:color w:val="000000"/>
        </w:rPr>
        <w:t>Le cas échéant, certificats établis par les services chargés du contrôle qualité et habilités à attester la conformité du service.</w:t>
      </w:r>
    </w:p>
    <w:p w14:paraId="5DA10199" w14:textId="77777777" w:rsidR="00E270EF" w:rsidRPr="00EC4B1D" w:rsidRDefault="00E270EF" w:rsidP="00AE25C5">
      <w:pPr>
        <w:suppressAutoHyphens/>
        <w:autoSpaceDN w:val="0"/>
        <w:spacing w:after="0" w:line="276" w:lineRule="auto"/>
        <w:ind w:left="1418"/>
        <w:jc w:val="both"/>
        <w:textAlignment w:val="baseline"/>
        <w:rPr>
          <w:rFonts w:ascii="Calibri" w:hAnsi="Calibri" w:cs="Calibri"/>
          <w:color w:val="000000"/>
        </w:rPr>
      </w:pPr>
    </w:p>
    <w:p w14:paraId="2144C350" w14:textId="77777777" w:rsidR="00E270EF" w:rsidRDefault="00E270EF" w:rsidP="00AE25C5">
      <w:pPr>
        <w:suppressAutoHyphens/>
        <w:autoSpaceDN w:val="0"/>
        <w:spacing w:after="0" w:line="276" w:lineRule="auto"/>
        <w:ind w:left="720"/>
        <w:jc w:val="both"/>
        <w:textAlignment w:val="baseline"/>
      </w:pPr>
    </w:p>
    <w:p w14:paraId="66059925" w14:textId="72557570" w:rsidR="00E270EF" w:rsidRPr="00E270EF" w:rsidRDefault="00E270EF" w:rsidP="00A824CD">
      <w:pPr>
        <w:pStyle w:val="Paragraphedeliste"/>
        <w:numPr>
          <w:ilvl w:val="0"/>
          <w:numId w:val="4"/>
        </w:numPr>
        <w:ind w:left="426"/>
        <w:jc w:val="both"/>
        <w:rPr>
          <w:rFonts w:ascii="Calibri" w:hAnsi="Calibri" w:cs="Calibri"/>
          <w:b/>
          <w:bCs/>
          <w:color w:val="000000"/>
        </w:rPr>
      </w:pPr>
      <w:r w:rsidRPr="00E270EF">
        <w:rPr>
          <w:rFonts w:ascii="Calibri" w:hAnsi="Calibri" w:cs="Calibri"/>
          <w:b/>
          <w:bCs/>
          <w:color w:val="000000"/>
        </w:rPr>
        <w:t>GARANTIES</w:t>
      </w:r>
      <w:r>
        <w:rPr>
          <w:rFonts w:ascii="Calibri" w:hAnsi="Calibri" w:cs="Calibri"/>
          <w:b/>
          <w:bCs/>
          <w:color w:val="000000"/>
        </w:rPr>
        <w:t xml:space="preserve"> FINANCIÈRES</w:t>
      </w:r>
    </w:p>
    <w:p w14:paraId="27A10918" w14:textId="77777777" w:rsidR="00FC2DE6" w:rsidRDefault="00FC2DE6" w:rsidP="00AE25C5">
      <w:pPr>
        <w:numPr>
          <w:ilvl w:val="0"/>
          <w:numId w:val="6"/>
        </w:numPr>
        <w:suppressAutoHyphens/>
        <w:autoSpaceDN w:val="0"/>
        <w:spacing w:after="0" w:line="276" w:lineRule="auto"/>
        <w:ind w:left="1418"/>
        <w:jc w:val="both"/>
        <w:textAlignment w:val="baseline"/>
      </w:pPr>
      <w:r>
        <w:rPr>
          <w:rFonts w:ascii="Calibri" w:hAnsi="Calibri" w:cs="Calibri"/>
          <w:color w:val="000000"/>
          <w:shd w:val="clear" w:color="auto" w:fill="FFFFFF"/>
        </w:rPr>
        <w:t xml:space="preserve"> Bilans, comptes de résultats et annexes des trois derniers exercices clos, certifiés.</w:t>
      </w:r>
    </w:p>
    <w:p w14:paraId="67E69C6E" w14:textId="368E5DD7" w:rsidR="00FC2DE6" w:rsidRDefault="00FC2DE6" w:rsidP="00AE25C5">
      <w:pPr>
        <w:numPr>
          <w:ilvl w:val="0"/>
          <w:numId w:val="6"/>
        </w:numPr>
        <w:suppressAutoHyphens/>
        <w:autoSpaceDN w:val="0"/>
        <w:spacing w:after="0" w:line="276" w:lineRule="auto"/>
        <w:ind w:left="1418"/>
        <w:jc w:val="both"/>
        <w:textAlignment w:val="baseline"/>
        <w:rPr>
          <w:rFonts w:ascii="Calibri" w:hAnsi="Calibri" w:cs="Calibri"/>
          <w:color w:val="000000"/>
          <w:shd w:val="clear" w:color="auto" w:fill="FFFFFF"/>
        </w:rPr>
      </w:pPr>
      <w:r>
        <w:rPr>
          <w:rFonts w:ascii="Calibri" w:hAnsi="Calibri" w:cs="Calibri"/>
          <w:color w:val="000000"/>
          <w:shd w:val="clear" w:color="auto" w:fill="FFFFFF"/>
        </w:rPr>
        <w:t xml:space="preserve"> Tout autre document comptable ou bancaire permettant au candidat de justifier sa capacité financière à assurer la gestion et l’exploitation de l’activité considérée.</w:t>
      </w:r>
    </w:p>
    <w:p w14:paraId="0EB2D0D5" w14:textId="77777777" w:rsidR="005413A4" w:rsidRDefault="005413A4" w:rsidP="005413A4">
      <w:pPr>
        <w:suppressAutoHyphens/>
        <w:autoSpaceDN w:val="0"/>
        <w:spacing w:after="0" w:line="276" w:lineRule="auto"/>
        <w:ind w:left="1418"/>
        <w:jc w:val="both"/>
        <w:textAlignment w:val="baseline"/>
        <w:rPr>
          <w:rFonts w:ascii="Calibri" w:hAnsi="Calibri" w:cs="Calibri"/>
          <w:color w:val="000000"/>
          <w:shd w:val="clear" w:color="auto" w:fill="FFFFFF"/>
        </w:rPr>
      </w:pPr>
    </w:p>
    <w:p w14:paraId="6770ED88" w14:textId="464B6F7C" w:rsidR="00E270EF" w:rsidRDefault="00E270EF" w:rsidP="00AE25C5">
      <w:pPr>
        <w:suppressAutoHyphens/>
        <w:autoSpaceDN w:val="0"/>
        <w:spacing w:after="0" w:line="276" w:lineRule="auto"/>
        <w:ind w:left="1418"/>
        <w:jc w:val="both"/>
        <w:textAlignment w:val="baseline"/>
        <w:rPr>
          <w:rFonts w:ascii="Calibri" w:hAnsi="Calibri" w:cs="Calibri"/>
          <w:color w:val="000000"/>
          <w:shd w:val="clear" w:color="auto" w:fill="FFFFFF"/>
        </w:rPr>
      </w:pPr>
    </w:p>
    <w:p w14:paraId="5700D36B" w14:textId="77777777" w:rsidR="005A2481" w:rsidRDefault="005A2481" w:rsidP="00AE25C5">
      <w:pPr>
        <w:suppressAutoHyphens/>
        <w:autoSpaceDN w:val="0"/>
        <w:spacing w:after="0" w:line="276" w:lineRule="auto"/>
        <w:ind w:left="1418"/>
        <w:jc w:val="both"/>
        <w:textAlignment w:val="baseline"/>
        <w:rPr>
          <w:rFonts w:ascii="Calibri" w:hAnsi="Calibri" w:cs="Calibri"/>
          <w:color w:val="000000"/>
          <w:shd w:val="clear" w:color="auto" w:fill="FFFFFF"/>
        </w:rPr>
      </w:pPr>
    </w:p>
    <w:p w14:paraId="150C2971" w14:textId="14376AB2" w:rsidR="00FC2DE6" w:rsidRDefault="004203C8" w:rsidP="00A824CD">
      <w:pPr>
        <w:jc w:val="both"/>
        <w:rPr>
          <w:rFonts w:ascii="Calibri" w:hAnsi="Calibri" w:cs="Calibri"/>
          <w:b/>
          <w:bCs/>
          <w:u w:val="single"/>
        </w:rPr>
      </w:pPr>
      <w:r w:rsidRPr="005A2481">
        <w:rPr>
          <w:rFonts w:ascii="Calibri" w:hAnsi="Calibri" w:cs="Calibri"/>
          <w:b/>
          <w:bCs/>
        </w:rPr>
        <w:t>b)</w:t>
      </w:r>
      <w:r>
        <w:rPr>
          <w:rFonts w:ascii="Calibri" w:hAnsi="Calibri" w:cs="Calibri"/>
          <w:b/>
          <w:bCs/>
          <w:u w:val="single"/>
        </w:rPr>
        <w:t xml:space="preserve"> </w:t>
      </w:r>
      <w:r w:rsidR="00FC2DE6">
        <w:rPr>
          <w:rFonts w:ascii="Calibri" w:hAnsi="Calibri" w:cs="Calibri"/>
          <w:b/>
          <w:bCs/>
          <w:u w:val="single"/>
        </w:rPr>
        <w:t>Dossier d’offre</w:t>
      </w:r>
    </w:p>
    <w:p w14:paraId="0E9E82BC" w14:textId="77777777" w:rsidR="00FC2DE6" w:rsidRDefault="00FC2DE6" w:rsidP="00A824CD">
      <w:pPr>
        <w:jc w:val="both"/>
        <w:rPr>
          <w:rFonts w:ascii="Calibri" w:hAnsi="Calibri" w:cs="Calibri"/>
          <w:color w:val="000000"/>
        </w:rPr>
      </w:pPr>
      <w:r>
        <w:rPr>
          <w:rFonts w:ascii="Calibri" w:hAnsi="Calibri" w:cs="Calibri"/>
          <w:color w:val="000000"/>
        </w:rPr>
        <w:t>-   un compte d’exploitation prévisionnel sur la durée de l’autorisation.</w:t>
      </w:r>
    </w:p>
    <w:p w14:paraId="720A1FFD" w14:textId="1DFBA74C" w:rsidR="00FC2DE6" w:rsidRDefault="00FC2DE6" w:rsidP="00A824CD">
      <w:pPr>
        <w:jc w:val="both"/>
        <w:rPr>
          <w:rFonts w:ascii="Calibri" w:hAnsi="Calibri" w:cs="Calibri"/>
          <w:color w:val="000000"/>
        </w:rPr>
      </w:pPr>
      <w:r>
        <w:rPr>
          <w:rFonts w:ascii="Calibri" w:hAnsi="Calibri" w:cs="Calibri"/>
          <w:color w:val="000000"/>
        </w:rPr>
        <w:t>- un projet d’exploitation détaillé précisant notamment la présentation du projet proposé pour l’emplacement comprenant : nom du concept, description de la cuisine proposée, menu détaillé, gamme de prix, origine des produits, originalité du concept, identité visuelle/esthétique, photos de l’infrastructure de vente et du mobilier, schéma d’implantation sur site, etc.</w:t>
      </w:r>
    </w:p>
    <w:p w14:paraId="097A27DF" w14:textId="55BB94E0" w:rsidR="00FC2DE6" w:rsidRDefault="0024720D" w:rsidP="00A824CD">
      <w:pPr>
        <w:tabs>
          <w:tab w:val="left" w:pos="270"/>
        </w:tabs>
        <w:suppressAutoHyphens/>
        <w:ind w:left="284" w:hanging="283"/>
        <w:jc w:val="both"/>
        <w:rPr>
          <w:rFonts w:cstheme="minorHAnsi"/>
          <w:color w:val="000000"/>
        </w:rPr>
      </w:pPr>
      <w:r>
        <w:rPr>
          <w:rFonts w:ascii="Calibri" w:hAnsi="Calibri" w:cs="Calibri"/>
          <w:color w:val="000000"/>
        </w:rPr>
        <w:t xml:space="preserve">- </w:t>
      </w:r>
      <w:r w:rsidRPr="00C20869">
        <w:rPr>
          <w:rFonts w:cstheme="minorHAnsi"/>
          <w:color w:val="000000"/>
        </w:rPr>
        <w:t>Demande d’autorisation pour installation d’une terrasse</w:t>
      </w:r>
      <w:r>
        <w:rPr>
          <w:rFonts w:cstheme="minorHAnsi"/>
          <w:color w:val="000000"/>
        </w:rPr>
        <w:t xml:space="preserve">. </w:t>
      </w:r>
    </w:p>
    <w:p w14:paraId="184B2986" w14:textId="5084B7AD" w:rsidR="005A2481" w:rsidRDefault="005A2481" w:rsidP="00AE25C5">
      <w:pPr>
        <w:tabs>
          <w:tab w:val="left" w:pos="270"/>
        </w:tabs>
        <w:suppressAutoHyphens/>
        <w:ind w:left="851" w:hanging="283"/>
        <w:jc w:val="both"/>
        <w:rPr>
          <w:rFonts w:cstheme="minorHAnsi"/>
          <w:color w:val="000000"/>
        </w:rPr>
      </w:pPr>
    </w:p>
    <w:p w14:paraId="0E875073" w14:textId="78261521" w:rsidR="005413A4" w:rsidRDefault="005413A4" w:rsidP="00AE25C5">
      <w:pPr>
        <w:tabs>
          <w:tab w:val="left" w:pos="270"/>
        </w:tabs>
        <w:suppressAutoHyphens/>
        <w:ind w:left="851" w:hanging="283"/>
        <w:jc w:val="both"/>
        <w:rPr>
          <w:rFonts w:cstheme="minorHAnsi"/>
          <w:color w:val="000000"/>
        </w:rPr>
      </w:pPr>
    </w:p>
    <w:p w14:paraId="68058C85" w14:textId="37ECBC22" w:rsidR="005413A4" w:rsidRDefault="005413A4" w:rsidP="00AE25C5">
      <w:pPr>
        <w:tabs>
          <w:tab w:val="left" w:pos="270"/>
        </w:tabs>
        <w:suppressAutoHyphens/>
        <w:ind w:left="851" w:hanging="283"/>
        <w:jc w:val="both"/>
        <w:rPr>
          <w:rFonts w:cstheme="minorHAnsi"/>
          <w:color w:val="000000"/>
        </w:rPr>
      </w:pPr>
    </w:p>
    <w:p w14:paraId="0FFA3AD2" w14:textId="0DAF554C" w:rsidR="005413A4" w:rsidRDefault="005413A4" w:rsidP="00AE25C5">
      <w:pPr>
        <w:tabs>
          <w:tab w:val="left" w:pos="270"/>
        </w:tabs>
        <w:suppressAutoHyphens/>
        <w:ind w:left="851" w:hanging="283"/>
        <w:jc w:val="both"/>
        <w:rPr>
          <w:rFonts w:cstheme="minorHAnsi"/>
          <w:color w:val="000000"/>
        </w:rPr>
      </w:pPr>
    </w:p>
    <w:p w14:paraId="1A67F145" w14:textId="77777777" w:rsidR="005413A4" w:rsidRPr="0024720D" w:rsidRDefault="005413A4" w:rsidP="00AE25C5">
      <w:pPr>
        <w:tabs>
          <w:tab w:val="left" w:pos="270"/>
        </w:tabs>
        <w:suppressAutoHyphens/>
        <w:ind w:left="851" w:hanging="283"/>
        <w:jc w:val="both"/>
        <w:rPr>
          <w:rFonts w:cstheme="minorHAnsi"/>
          <w:color w:val="000000"/>
        </w:rPr>
      </w:pPr>
    </w:p>
    <w:p w14:paraId="2E584C56" w14:textId="040736A1" w:rsidR="00FC2DE6" w:rsidRPr="007F38F1" w:rsidRDefault="00FC2DE6" w:rsidP="00AE25C5">
      <w:pPr>
        <w:jc w:val="both"/>
        <w:rPr>
          <w:rFonts w:ascii="Calibri" w:hAnsi="Calibri" w:cs="Calibri"/>
          <w:b/>
          <w:bCs/>
          <w:color w:val="000000"/>
          <w:u w:val="single"/>
        </w:rPr>
      </w:pPr>
      <w:r w:rsidRPr="007F38F1">
        <w:rPr>
          <w:rFonts w:ascii="Calibri" w:hAnsi="Calibri" w:cs="Calibri"/>
          <w:b/>
          <w:bCs/>
          <w:color w:val="000000"/>
          <w:u w:val="single"/>
        </w:rPr>
        <w:t>ARTICLE 1</w:t>
      </w:r>
      <w:r w:rsidR="00B465E3">
        <w:rPr>
          <w:rFonts w:ascii="Calibri" w:hAnsi="Calibri" w:cs="Calibri"/>
          <w:b/>
          <w:bCs/>
          <w:color w:val="000000"/>
          <w:u w:val="single"/>
        </w:rPr>
        <w:t>4</w:t>
      </w:r>
      <w:r w:rsidRPr="007F38F1">
        <w:rPr>
          <w:rFonts w:ascii="Calibri" w:hAnsi="Calibri" w:cs="Calibri"/>
          <w:b/>
          <w:bCs/>
          <w:color w:val="000000"/>
          <w:u w:val="single"/>
        </w:rPr>
        <w:t xml:space="preserve"> – CRITÈRES DE SÉLECTION</w:t>
      </w:r>
    </w:p>
    <w:p w14:paraId="0C754D2C" w14:textId="6A42ED3A" w:rsidR="00FC2DE6" w:rsidRPr="004203C8" w:rsidRDefault="00FC2DE6" w:rsidP="00AE25C5">
      <w:pPr>
        <w:pStyle w:val="Paragraphedeliste"/>
        <w:numPr>
          <w:ilvl w:val="0"/>
          <w:numId w:val="10"/>
        </w:numPr>
        <w:ind w:left="709" w:hanging="218"/>
        <w:jc w:val="both"/>
        <w:rPr>
          <w:rFonts w:ascii="Calibri" w:hAnsi="Calibri" w:cs="Calibri"/>
          <w:b/>
          <w:color w:val="000000"/>
          <w:u w:val="single"/>
        </w:rPr>
      </w:pPr>
      <w:r w:rsidRPr="004203C8">
        <w:rPr>
          <w:rFonts w:ascii="Calibri" w:hAnsi="Calibri" w:cs="Calibri"/>
          <w:b/>
          <w:color w:val="000000"/>
          <w:u w:val="single"/>
        </w:rPr>
        <w:t>Processus d’évaluation des candidatures et des offres</w:t>
      </w:r>
    </w:p>
    <w:p w14:paraId="0B1E40DE" w14:textId="77777777" w:rsidR="00FC2DE6" w:rsidRPr="00FC2DE6" w:rsidRDefault="00FC2DE6" w:rsidP="00AE25C5">
      <w:pPr>
        <w:jc w:val="both"/>
        <w:rPr>
          <w:rFonts w:ascii="Calibri" w:hAnsi="Calibri" w:cs="Calibri"/>
          <w:color w:val="000000"/>
        </w:rPr>
      </w:pPr>
      <w:r w:rsidRPr="00FC2DE6">
        <w:rPr>
          <w:rFonts w:ascii="Calibri" w:hAnsi="Calibri" w:cs="Calibri"/>
          <w:color w:val="000000"/>
        </w:rPr>
        <w:t>La liste des candidats admis sera établie par un jury qui procédera à l’ouverture des enveloppes contenant les candidatures et décidera de l’élimination des candidats dont les justifications seront insuffisantes au regard des garanties professionnelles et financières détaillées dans le présent cahier des charges.</w:t>
      </w:r>
    </w:p>
    <w:p w14:paraId="22AB3AC0" w14:textId="77777777" w:rsidR="00FC2DE6" w:rsidRPr="00FC2DE6" w:rsidRDefault="00FC2DE6" w:rsidP="00AE25C5">
      <w:pPr>
        <w:jc w:val="both"/>
      </w:pPr>
      <w:r w:rsidRPr="00FC2DE6">
        <w:rPr>
          <w:rFonts w:ascii="Calibri" w:hAnsi="Calibri"/>
        </w:rPr>
        <w:t>Après réception des candidatures, les dossiers seront examinés par un jury de sélection constitué d’élus et de techniciens.</w:t>
      </w:r>
    </w:p>
    <w:p w14:paraId="1DF990C6" w14:textId="77777777" w:rsidR="00FC2DE6" w:rsidRPr="00FC2DE6" w:rsidRDefault="00FC2DE6" w:rsidP="00AE25C5">
      <w:pPr>
        <w:pStyle w:val="Standard"/>
        <w:jc w:val="both"/>
        <w:rPr>
          <w:rFonts w:ascii="Calibri" w:hAnsi="Calibri"/>
          <w:sz w:val="22"/>
          <w:szCs w:val="22"/>
        </w:rPr>
      </w:pPr>
      <w:r w:rsidRPr="00FC2DE6">
        <w:rPr>
          <w:rFonts w:ascii="Calibri" w:hAnsi="Calibri"/>
          <w:sz w:val="22"/>
          <w:szCs w:val="22"/>
        </w:rPr>
        <w:t>Ce jury validera la conformité des dossiers de candidature reçus sur la base des principes et critères présentés précédemment.</w:t>
      </w:r>
    </w:p>
    <w:p w14:paraId="0A33B82D" w14:textId="77777777" w:rsidR="00FC2DE6" w:rsidRPr="00FC2DE6" w:rsidRDefault="00FC2DE6" w:rsidP="00AE25C5">
      <w:pPr>
        <w:pStyle w:val="Standard"/>
        <w:jc w:val="both"/>
        <w:rPr>
          <w:rFonts w:ascii="Calibri" w:hAnsi="Calibri"/>
          <w:sz w:val="22"/>
          <w:szCs w:val="22"/>
        </w:rPr>
      </w:pPr>
      <w:r w:rsidRPr="00FC2DE6">
        <w:rPr>
          <w:rFonts w:ascii="Calibri" w:hAnsi="Calibri"/>
          <w:sz w:val="22"/>
          <w:szCs w:val="22"/>
        </w:rPr>
        <w:t>Les dossiers incomplets ou ne satisfaisant pas aux conditions d’admissibilité seront rejetés et ne seront pas évalués par le jury.</w:t>
      </w:r>
    </w:p>
    <w:p w14:paraId="7D2D4B52" w14:textId="77777777" w:rsidR="00FC2DE6" w:rsidRPr="00FC2DE6" w:rsidRDefault="00FC2DE6" w:rsidP="00AE25C5">
      <w:pPr>
        <w:pStyle w:val="Standard"/>
        <w:jc w:val="both"/>
        <w:rPr>
          <w:rFonts w:ascii="Calibri" w:hAnsi="Calibri"/>
          <w:sz w:val="22"/>
          <w:szCs w:val="22"/>
        </w:rPr>
      </w:pPr>
      <w:r w:rsidRPr="00FC2DE6">
        <w:rPr>
          <w:rFonts w:ascii="Calibri" w:hAnsi="Calibri"/>
          <w:sz w:val="22"/>
          <w:szCs w:val="22"/>
        </w:rPr>
        <w:t>Un entretien sera éventuellement organisé avec les candidats pour éclaircir certains aspects du dossier déposé.</w:t>
      </w:r>
    </w:p>
    <w:p w14:paraId="4DAF72BD" w14:textId="77777777" w:rsidR="00FC2DE6" w:rsidRPr="00FC2DE6" w:rsidRDefault="00FC2DE6" w:rsidP="00AE25C5">
      <w:pPr>
        <w:pStyle w:val="Standard"/>
        <w:jc w:val="both"/>
        <w:rPr>
          <w:rFonts w:ascii="Calibri" w:hAnsi="Calibri"/>
          <w:sz w:val="22"/>
          <w:szCs w:val="22"/>
        </w:rPr>
      </w:pPr>
      <w:r w:rsidRPr="00FC2DE6">
        <w:rPr>
          <w:rFonts w:ascii="Calibri" w:hAnsi="Calibri"/>
          <w:sz w:val="22"/>
          <w:szCs w:val="22"/>
        </w:rPr>
        <w:t>Au terme du processus de sélection, l’ensemble des candidats recevront une notification par courrier (courrier de rejet ou courrier d’admission avec information sur la démarche à suivre pour l’obtention de l’AOT).</w:t>
      </w:r>
    </w:p>
    <w:p w14:paraId="5ED19081" w14:textId="77777777" w:rsidR="00FC2DE6" w:rsidRPr="004203C8" w:rsidRDefault="00FC2DE6" w:rsidP="00AE25C5">
      <w:pPr>
        <w:jc w:val="both"/>
        <w:rPr>
          <w:rFonts w:ascii="Calibri" w:hAnsi="Calibri" w:cs="Calibri"/>
          <w:color w:val="000000"/>
          <w:sz w:val="4"/>
          <w:szCs w:val="4"/>
        </w:rPr>
      </w:pPr>
    </w:p>
    <w:p w14:paraId="28A18885" w14:textId="4428FD10" w:rsidR="00FC2DE6" w:rsidRDefault="00FC2DE6" w:rsidP="00AE25C5">
      <w:pPr>
        <w:pStyle w:val="Standard"/>
        <w:numPr>
          <w:ilvl w:val="0"/>
          <w:numId w:val="10"/>
        </w:numPr>
        <w:ind w:left="709"/>
        <w:jc w:val="both"/>
        <w:rPr>
          <w:rFonts w:ascii="Calibri" w:hAnsi="Calibri" w:cs="Calibri"/>
          <w:b/>
          <w:color w:val="000000"/>
          <w:sz w:val="22"/>
          <w:szCs w:val="22"/>
          <w:u w:val="single"/>
        </w:rPr>
      </w:pPr>
      <w:r w:rsidRPr="00FC2DE6">
        <w:rPr>
          <w:rFonts w:ascii="Calibri" w:hAnsi="Calibri" w:cs="Calibri"/>
          <w:b/>
          <w:color w:val="000000"/>
          <w:sz w:val="22"/>
          <w:szCs w:val="22"/>
          <w:u w:val="single"/>
        </w:rPr>
        <w:t xml:space="preserve">Critères d’analyse des offres : </w:t>
      </w:r>
    </w:p>
    <w:p w14:paraId="73811B50" w14:textId="77777777" w:rsidR="005A2481" w:rsidRPr="00FC2DE6" w:rsidRDefault="005A2481" w:rsidP="00AE25C5">
      <w:pPr>
        <w:pStyle w:val="Standard"/>
        <w:ind w:left="709"/>
        <w:jc w:val="both"/>
        <w:rPr>
          <w:rFonts w:ascii="Calibri" w:hAnsi="Calibri" w:cs="Calibri"/>
          <w:b/>
          <w:color w:val="000000"/>
          <w:sz w:val="22"/>
          <w:szCs w:val="22"/>
          <w:u w:val="single"/>
        </w:rPr>
      </w:pPr>
    </w:p>
    <w:p w14:paraId="57FF201F" w14:textId="77777777" w:rsidR="00FC2DE6" w:rsidRPr="00FC2DE6" w:rsidRDefault="00FC2DE6" w:rsidP="00AE25C5">
      <w:pPr>
        <w:pStyle w:val="Standard"/>
        <w:jc w:val="both"/>
        <w:rPr>
          <w:rFonts w:ascii="Calibri" w:hAnsi="Calibri" w:cs="Calibri"/>
          <w:color w:val="000000"/>
          <w:sz w:val="22"/>
          <w:szCs w:val="22"/>
        </w:rPr>
      </w:pPr>
      <w:r w:rsidRPr="00FC2DE6">
        <w:rPr>
          <w:rFonts w:ascii="Calibri" w:hAnsi="Calibri" w:cs="Calibri"/>
          <w:color w:val="000000"/>
          <w:sz w:val="22"/>
          <w:szCs w:val="22"/>
        </w:rPr>
        <w:t>Le choix du candidat sera effectué au regard des critères suivants :</w:t>
      </w:r>
    </w:p>
    <w:p w14:paraId="71801BE0" w14:textId="77777777" w:rsidR="00FC2DE6" w:rsidRPr="00FC2DE6" w:rsidRDefault="00FC2DE6" w:rsidP="00AE25C5">
      <w:pPr>
        <w:pStyle w:val="Standard"/>
        <w:jc w:val="both"/>
        <w:rPr>
          <w:rFonts w:ascii="Calibri" w:hAnsi="Calibri" w:cs="Calibri"/>
          <w:b/>
          <w:color w:val="000000"/>
          <w:sz w:val="22"/>
          <w:szCs w:val="22"/>
        </w:rPr>
      </w:pPr>
      <w:r w:rsidRPr="00FC2DE6">
        <w:rPr>
          <w:rFonts w:ascii="Calibri" w:hAnsi="Calibri" w:cs="Calibri"/>
          <w:b/>
          <w:color w:val="000000"/>
          <w:sz w:val="22"/>
          <w:szCs w:val="22"/>
        </w:rPr>
        <w:t>•</w:t>
      </w:r>
      <w:r w:rsidRPr="00FC2DE6">
        <w:rPr>
          <w:rFonts w:ascii="Calibri" w:hAnsi="Calibri" w:cs="Calibri"/>
          <w:b/>
          <w:color w:val="000000"/>
          <w:sz w:val="22"/>
          <w:szCs w:val="22"/>
        </w:rPr>
        <w:tab/>
        <w:t>Dossier personnel (30%)</w:t>
      </w:r>
    </w:p>
    <w:p w14:paraId="5ABA5FAD" w14:textId="77777777" w:rsidR="00FC2DE6" w:rsidRPr="00FC2DE6" w:rsidRDefault="00FC2DE6" w:rsidP="00AE25C5">
      <w:pPr>
        <w:pStyle w:val="Standard"/>
        <w:jc w:val="both"/>
        <w:rPr>
          <w:rFonts w:ascii="Calibri" w:hAnsi="Calibri" w:cs="Calibri"/>
          <w:color w:val="000000"/>
          <w:sz w:val="22"/>
          <w:szCs w:val="22"/>
        </w:rPr>
      </w:pPr>
      <w:r w:rsidRPr="00FC2DE6">
        <w:rPr>
          <w:rFonts w:ascii="Calibri" w:hAnsi="Calibri" w:cs="Calibri"/>
          <w:color w:val="000000"/>
          <w:sz w:val="22"/>
          <w:szCs w:val="22"/>
        </w:rPr>
        <w:tab/>
        <w:t>- expériences professionnelles</w:t>
      </w:r>
    </w:p>
    <w:p w14:paraId="3AF56111" w14:textId="77777777" w:rsidR="00FC2DE6" w:rsidRPr="00FC2DE6" w:rsidRDefault="00FC2DE6" w:rsidP="00AE25C5">
      <w:pPr>
        <w:pStyle w:val="Standard"/>
        <w:jc w:val="both"/>
        <w:rPr>
          <w:rFonts w:ascii="Calibri" w:hAnsi="Calibri" w:cs="Calibri"/>
          <w:color w:val="000000"/>
          <w:sz w:val="22"/>
          <w:szCs w:val="22"/>
        </w:rPr>
      </w:pPr>
      <w:r w:rsidRPr="00FC2DE6">
        <w:rPr>
          <w:rFonts w:ascii="Calibri" w:hAnsi="Calibri" w:cs="Calibri"/>
          <w:color w:val="000000"/>
          <w:sz w:val="22"/>
          <w:szCs w:val="22"/>
        </w:rPr>
        <w:tab/>
        <w:t>- motivation du candidat</w:t>
      </w:r>
    </w:p>
    <w:p w14:paraId="72998E42" w14:textId="77777777" w:rsidR="00FC2DE6" w:rsidRPr="00FC2DE6" w:rsidRDefault="00FC2DE6" w:rsidP="00AE25C5">
      <w:pPr>
        <w:pStyle w:val="Standard"/>
        <w:jc w:val="both"/>
        <w:rPr>
          <w:rFonts w:ascii="Calibri" w:hAnsi="Calibri" w:cs="Calibri"/>
          <w:b/>
          <w:color w:val="000000"/>
          <w:sz w:val="22"/>
          <w:szCs w:val="22"/>
        </w:rPr>
      </w:pPr>
      <w:r w:rsidRPr="00FC2DE6">
        <w:rPr>
          <w:rFonts w:ascii="Calibri" w:hAnsi="Calibri" w:cs="Calibri"/>
          <w:b/>
          <w:color w:val="000000"/>
          <w:sz w:val="22"/>
          <w:szCs w:val="22"/>
        </w:rPr>
        <w:t>•</w:t>
      </w:r>
      <w:r w:rsidRPr="00FC2DE6">
        <w:rPr>
          <w:rFonts w:ascii="Calibri" w:hAnsi="Calibri" w:cs="Calibri"/>
          <w:b/>
          <w:color w:val="000000"/>
          <w:sz w:val="22"/>
          <w:szCs w:val="22"/>
        </w:rPr>
        <w:tab/>
        <w:t>Dossier financier (30%)</w:t>
      </w:r>
    </w:p>
    <w:p w14:paraId="07F365F4" w14:textId="77777777" w:rsidR="00FC2DE6" w:rsidRPr="00FC2DE6" w:rsidRDefault="00FC2DE6" w:rsidP="00A824CD">
      <w:pPr>
        <w:pStyle w:val="Standard"/>
        <w:ind w:firstLine="708"/>
        <w:jc w:val="both"/>
        <w:rPr>
          <w:rFonts w:ascii="Calibri" w:hAnsi="Calibri" w:cs="Calibri"/>
          <w:color w:val="000000"/>
          <w:sz w:val="22"/>
          <w:szCs w:val="22"/>
        </w:rPr>
      </w:pPr>
      <w:r w:rsidRPr="00FC2DE6">
        <w:rPr>
          <w:rFonts w:ascii="Calibri" w:hAnsi="Calibri" w:cs="Calibri"/>
          <w:color w:val="000000"/>
          <w:sz w:val="22"/>
          <w:szCs w:val="22"/>
        </w:rPr>
        <w:t>- le compte de résultat prévisionnel de l’activité avec le détail des charges et recette annuelles d’exploitation sur la durée de l’autorisation.</w:t>
      </w:r>
    </w:p>
    <w:p w14:paraId="1F9AEB61" w14:textId="77777777" w:rsidR="00FC2DE6" w:rsidRPr="00FC2DE6" w:rsidRDefault="00FC2DE6" w:rsidP="00AE25C5">
      <w:pPr>
        <w:pStyle w:val="Standard"/>
        <w:jc w:val="both"/>
        <w:rPr>
          <w:rFonts w:ascii="Calibri" w:hAnsi="Calibri" w:cs="Calibri"/>
          <w:b/>
          <w:color w:val="000000"/>
          <w:sz w:val="22"/>
          <w:szCs w:val="22"/>
        </w:rPr>
      </w:pPr>
      <w:r w:rsidRPr="00FC2DE6">
        <w:rPr>
          <w:rFonts w:ascii="Calibri" w:hAnsi="Calibri" w:cs="Calibri"/>
          <w:b/>
          <w:color w:val="000000"/>
          <w:sz w:val="22"/>
          <w:szCs w:val="22"/>
        </w:rPr>
        <w:t>•</w:t>
      </w:r>
      <w:r w:rsidRPr="00FC2DE6">
        <w:rPr>
          <w:rFonts w:ascii="Calibri" w:hAnsi="Calibri" w:cs="Calibri"/>
          <w:b/>
          <w:color w:val="000000"/>
          <w:sz w:val="22"/>
          <w:szCs w:val="22"/>
        </w:rPr>
        <w:tab/>
        <w:t>Dossier commercial (40%)</w:t>
      </w:r>
    </w:p>
    <w:p w14:paraId="48AE7CB2" w14:textId="2700F019" w:rsidR="00FC2DE6" w:rsidRPr="00FC2DE6" w:rsidRDefault="00FC2DE6" w:rsidP="00AE25C5">
      <w:pPr>
        <w:pStyle w:val="Standard"/>
        <w:ind w:left="708"/>
        <w:jc w:val="both"/>
        <w:rPr>
          <w:rFonts w:ascii="Calibri" w:hAnsi="Calibri" w:cs="Calibri"/>
          <w:color w:val="000000"/>
          <w:sz w:val="22"/>
          <w:szCs w:val="22"/>
        </w:rPr>
      </w:pPr>
      <w:r w:rsidRPr="00FC2DE6">
        <w:rPr>
          <w:rFonts w:ascii="Calibri" w:hAnsi="Calibri" w:cs="Calibri"/>
          <w:color w:val="000000"/>
          <w:sz w:val="22"/>
          <w:szCs w:val="22"/>
        </w:rPr>
        <w:t>- qualité des produits, privilégiant une cuisine créative, saine et rapide</w:t>
      </w:r>
      <w:r>
        <w:rPr>
          <w:rFonts w:ascii="Calibri" w:hAnsi="Calibri" w:cs="Calibri"/>
          <w:color w:val="000000"/>
          <w:sz w:val="22"/>
          <w:szCs w:val="22"/>
        </w:rPr>
        <w:t xml:space="preserve"> avec un </w:t>
      </w:r>
      <w:r>
        <w:rPr>
          <w:rFonts w:asciiTheme="minorHAnsi" w:hAnsiTheme="minorHAnsi" w:cstheme="minorHAnsi"/>
          <w:sz w:val="22"/>
          <w:szCs w:val="22"/>
        </w:rPr>
        <w:t>d</w:t>
      </w:r>
      <w:r w:rsidRPr="00FC2DE6">
        <w:rPr>
          <w:rFonts w:asciiTheme="minorHAnsi" w:hAnsiTheme="minorHAnsi" w:cstheme="minorHAnsi"/>
          <w:sz w:val="22"/>
          <w:szCs w:val="22"/>
        </w:rPr>
        <w:t xml:space="preserve">ossier détaillant les produits proposés, leur variété et origine ainsi que leur qualité (exemple : produits labellisés issus de l’agriculture biologique, produits </w:t>
      </w:r>
      <w:r w:rsidR="005413A4" w:rsidRPr="00FC2DE6">
        <w:rPr>
          <w:rFonts w:asciiTheme="minorHAnsi" w:hAnsiTheme="minorHAnsi" w:cstheme="minorHAnsi"/>
          <w:sz w:val="22"/>
          <w:szCs w:val="22"/>
        </w:rPr>
        <w:t>locaux…</w:t>
      </w:r>
      <w:r w:rsidRPr="00FC2DE6">
        <w:rPr>
          <w:rFonts w:asciiTheme="minorHAnsi" w:hAnsiTheme="minorHAnsi" w:cstheme="minorHAnsi"/>
          <w:sz w:val="22"/>
          <w:szCs w:val="22"/>
        </w:rPr>
        <w:t>).</w:t>
      </w:r>
    </w:p>
    <w:p w14:paraId="46ACBAD4" w14:textId="77777777" w:rsidR="00FC2DE6" w:rsidRPr="00FC2DE6" w:rsidRDefault="00FC2DE6" w:rsidP="00AE25C5">
      <w:pPr>
        <w:pStyle w:val="Standard"/>
        <w:jc w:val="both"/>
        <w:rPr>
          <w:rFonts w:ascii="Calibri" w:hAnsi="Calibri" w:cs="Calibri"/>
          <w:color w:val="000000"/>
          <w:sz w:val="22"/>
          <w:szCs w:val="22"/>
        </w:rPr>
      </w:pPr>
      <w:r w:rsidRPr="00FC2DE6">
        <w:rPr>
          <w:rFonts w:ascii="Calibri" w:hAnsi="Calibri" w:cs="Calibri"/>
          <w:color w:val="000000"/>
          <w:sz w:val="22"/>
          <w:szCs w:val="22"/>
        </w:rPr>
        <w:tab/>
        <w:t>- offre et gamme de prix accessible et adaptée,</w:t>
      </w:r>
    </w:p>
    <w:p w14:paraId="6B882038" w14:textId="77777777" w:rsidR="00FC2DE6" w:rsidRPr="00FC2DE6" w:rsidRDefault="00FC2DE6" w:rsidP="00AE25C5">
      <w:pPr>
        <w:pStyle w:val="Standard"/>
        <w:jc w:val="both"/>
        <w:rPr>
          <w:rFonts w:ascii="Calibri" w:hAnsi="Calibri" w:cs="Calibri"/>
          <w:color w:val="000000"/>
          <w:sz w:val="22"/>
          <w:szCs w:val="22"/>
        </w:rPr>
      </w:pPr>
      <w:r w:rsidRPr="00FC2DE6">
        <w:rPr>
          <w:rFonts w:ascii="Calibri" w:hAnsi="Calibri" w:cs="Calibri"/>
          <w:color w:val="000000"/>
          <w:sz w:val="22"/>
          <w:szCs w:val="22"/>
        </w:rPr>
        <w:tab/>
        <w:t>- l’amplitude horaire proposée,</w:t>
      </w:r>
    </w:p>
    <w:p w14:paraId="6048EFF0" w14:textId="77777777" w:rsidR="00FC2DE6" w:rsidRPr="00FC2DE6" w:rsidRDefault="00FC2DE6" w:rsidP="00AE25C5">
      <w:pPr>
        <w:pStyle w:val="Standard"/>
        <w:jc w:val="both"/>
        <w:rPr>
          <w:rFonts w:ascii="Calibri" w:hAnsi="Calibri" w:cs="Calibri"/>
          <w:color w:val="000000"/>
          <w:sz w:val="22"/>
          <w:szCs w:val="22"/>
        </w:rPr>
      </w:pPr>
      <w:r w:rsidRPr="00FC2DE6">
        <w:rPr>
          <w:rFonts w:ascii="Calibri" w:hAnsi="Calibri" w:cs="Calibri"/>
          <w:color w:val="000000"/>
          <w:sz w:val="22"/>
          <w:szCs w:val="22"/>
        </w:rPr>
        <w:tab/>
        <w:t xml:space="preserve">- qualité de la prestation proposée tant sur le plan de l’hygiène, que de la traçabilité des </w:t>
      </w:r>
      <w:r w:rsidRPr="00FC2DE6">
        <w:rPr>
          <w:rFonts w:ascii="Calibri" w:hAnsi="Calibri" w:cs="Calibri"/>
          <w:color w:val="000000"/>
          <w:sz w:val="22"/>
          <w:szCs w:val="22"/>
        </w:rPr>
        <w:tab/>
        <w:t>produits proposés (respect de la chaîne du froid et des normes sanitaires),</w:t>
      </w:r>
    </w:p>
    <w:p w14:paraId="6929C418" w14:textId="2F960CD8" w:rsidR="00FC2DE6" w:rsidRPr="00FC2DE6" w:rsidRDefault="00FC2DE6" w:rsidP="00AE25C5">
      <w:pPr>
        <w:pStyle w:val="Standard"/>
        <w:ind w:left="708"/>
        <w:jc w:val="both"/>
        <w:rPr>
          <w:rFonts w:ascii="Calibri" w:hAnsi="Calibri" w:cs="Calibri"/>
          <w:color w:val="000000"/>
          <w:sz w:val="22"/>
          <w:szCs w:val="22"/>
        </w:rPr>
      </w:pPr>
      <w:r w:rsidRPr="00FC2DE6">
        <w:rPr>
          <w:rFonts w:ascii="Calibri" w:hAnsi="Calibri" w:cs="Calibri"/>
          <w:color w:val="000000"/>
          <w:sz w:val="22"/>
          <w:szCs w:val="22"/>
        </w:rPr>
        <w:t xml:space="preserve">- les engagements en termes de développement durable : éco-responsabilité </w:t>
      </w:r>
      <w:r>
        <w:rPr>
          <w:rFonts w:ascii="Calibri" w:hAnsi="Calibri" w:cs="Calibri"/>
          <w:color w:val="000000"/>
          <w:sz w:val="22"/>
          <w:szCs w:val="22"/>
        </w:rPr>
        <w:t>de l’exploitation</w:t>
      </w:r>
      <w:r w:rsidRPr="00FC2DE6">
        <w:rPr>
          <w:rFonts w:ascii="Calibri" w:hAnsi="Calibri" w:cs="Calibri"/>
          <w:color w:val="000000"/>
          <w:sz w:val="22"/>
          <w:szCs w:val="22"/>
        </w:rPr>
        <w:t>, assurant la gestion autonome de ses déchets (recours au recyclage</w:t>
      </w:r>
      <w:r>
        <w:rPr>
          <w:rFonts w:ascii="Calibri" w:hAnsi="Calibri" w:cs="Calibri"/>
          <w:color w:val="000000"/>
          <w:sz w:val="22"/>
          <w:szCs w:val="22"/>
        </w:rPr>
        <w:t>, consignation</w:t>
      </w:r>
      <w:r w:rsidRPr="00FC2DE6">
        <w:rPr>
          <w:rFonts w:ascii="Calibri" w:hAnsi="Calibri" w:cs="Calibri"/>
          <w:color w:val="000000"/>
          <w:sz w:val="22"/>
          <w:szCs w:val="22"/>
        </w:rPr>
        <w:t xml:space="preserve">), la salubrité de son </w:t>
      </w:r>
      <w:r w:rsidRPr="00FC2DE6">
        <w:rPr>
          <w:rFonts w:ascii="Calibri" w:hAnsi="Calibri" w:cs="Calibri"/>
          <w:color w:val="000000"/>
          <w:sz w:val="22"/>
          <w:szCs w:val="22"/>
        </w:rPr>
        <w:tab/>
        <w:t>équipement dans le cadre d’une démarche respectueuse de l’environnement.</w:t>
      </w:r>
    </w:p>
    <w:p w14:paraId="757DFE85" w14:textId="6A07C193" w:rsidR="00FC2DE6" w:rsidRDefault="00FC2DE6" w:rsidP="00AE25C5">
      <w:pPr>
        <w:pStyle w:val="Standard"/>
        <w:jc w:val="both"/>
        <w:rPr>
          <w:rFonts w:ascii="Calibri" w:hAnsi="Calibri" w:cs="Calibri"/>
          <w:color w:val="000000"/>
          <w:sz w:val="22"/>
          <w:szCs w:val="22"/>
        </w:rPr>
      </w:pPr>
    </w:p>
    <w:p w14:paraId="469A2414" w14:textId="226700E3" w:rsidR="005413A4" w:rsidRDefault="005413A4" w:rsidP="00AE25C5">
      <w:pPr>
        <w:pStyle w:val="Standard"/>
        <w:jc w:val="both"/>
        <w:rPr>
          <w:rFonts w:ascii="Calibri" w:hAnsi="Calibri" w:cs="Calibri"/>
          <w:color w:val="000000"/>
          <w:sz w:val="22"/>
          <w:szCs w:val="22"/>
        </w:rPr>
      </w:pPr>
    </w:p>
    <w:p w14:paraId="6499D456" w14:textId="7C73D934" w:rsidR="005413A4" w:rsidRDefault="005413A4" w:rsidP="00AE25C5">
      <w:pPr>
        <w:pStyle w:val="Standard"/>
        <w:jc w:val="both"/>
        <w:rPr>
          <w:rFonts w:ascii="Calibri" w:hAnsi="Calibri" w:cs="Calibri"/>
          <w:color w:val="000000"/>
          <w:sz w:val="22"/>
          <w:szCs w:val="22"/>
        </w:rPr>
      </w:pPr>
    </w:p>
    <w:p w14:paraId="0360AAA9" w14:textId="2E7FD828" w:rsidR="005413A4" w:rsidRDefault="005413A4" w:rsidP="00AE25C5">
      <w:pPr>
        <w:pStyle w:val="Standard"/>
        <w:jc w:val="both"/>
        <w:rPr>
          <w:rFonts w:ascii="Calibri" w:hAnsi="Calibri" w:cs="Calibri"/>
          <w:color w:val="000000"/>
          <w:sz w:val="22"/>
          <w:szCs w:val="22"/>
        </w:rPr>
      </w:pPr>
    </w:p>
    <w:p w14:paraId="79944A4C" w14:textId="48F348A9" w:rsidR="005413A4" w:rsidRDefault="005413A4" w:rsidP="00AE25C5">
      <w:pPr>
        <w:pStyle w:val="Standard"/>
        <w:jc w:val="both"/>
        <w:rPr>
          <w:rFonts w:ascii="Calibri" w:hAnsi="Calibri" w:cs="Calibri"/>
          <w:color w:val="000000"/>
          <w:sz w:val="22"/>
          <w:szCs w:val="22"/>
        </w:rPr>
      </w:pPr>
    </w:p>
    <w:p w14:paraId="38374965" w14:textId="3C0784E7" w:rsidR="005413A4" w:rsidRDefault="005413A4" w:rsidP="00AE25C5">
      <w:pPr>
        <w:pStyle w:val="Standard"/>
        <w:jc w:val="both"/>
        <w:rPr>
          <w:rFonts w:ascii="Calibri" w:hAnsi="Calibri" w:cs="Calibri"/>
          <w:color w:val="000000"/>
          <w:sz w:val="22"/>
          <w:szCs w:val="22"/>
        </w:rPr>
      </w:pPr>
    </w:p>
    <w:p w14:paraId="3F2F2559" w14:textId="77777777" w:rsidR="005413A4" w:rsidRPr="00FC2DE6" w:rsidRDefault="005413A4" w:rsidP="00AE25C5">
      <w:pPr>
        <w:pStyle w:val="Standard"/>
        <w:jc w:val="both"/>
        <w:rPr>
          <w:rFonts w:ascii="Calibri" w:hAnsi="Calibri" w:cs="Calibri"/>
          <w:color w:val="000000"/>
          <w:sz w:val="22"/>
          <w:szCs w:val="22"/>
        </w:rPr>
      </w:pPr>
    </w:p>
    <w:p w14:paraId="7D9A3255" w14:textId="338BD800" w:rsidR="00FC2DE6" w:rsidRPr="007F38F1" w:rsidRDefault="00FC2DE6" w:rsidP="00AE25C5">
      <w:pPr>
        <w:pStyle w:val="Standard"/>
        <w:jc w:val="both"/>
        <w:rPr>
          <w:rFonts w:ascii="Calibri" w:hAnsi="Calibri"/>
          <w:b/>
          <w:bCs/>
          <w:color w:val="000000"/>
          <w:sz w:val="22"/>
          <w:szCs w:val="22"/>
          <w:u w:val="single"/>
        </w:rPr>
      </w:pPr>
      <w:r w:rsidRPr="007F38F1">
        <w:rPr>
          <w:rFonts w:ascii="Calibri" w:hAnsi="Calibri"/>
          <w:b/>
          <w:bCs/>
          <w:color w:val="000000"/>
          <w:sz w:val="22"/>
          <w:szCs w:val="22"/>
          <w:u w:val="single"/>
        </w:rPr>
        <w:lastRenderedPageBreak/>
        <w:t>ARTICLE 1</w:t>
      </w:r>
      <w:r w:rsidR="00B465E3">
        <w:rPr>
          <w:rFonts w:ascii="Calibri" w:hAnsi="Calibri"/>
          <w:b/>
          <w:bCs/>
          <w:color w:val="000000"/>
          <w:sz w:val="22"/>
          <w:szCs w:val="22"/>
          <w:u w:val="single"/>
        </w:rPr>
        <w:t>5</w:t>
      </w:r>
      <w:r w:rsidRPr="007F38F1">
        <w:rPr>
          <w:rFonts w:ascii="Calibri" w:hAnsi="Calibri"/>
          <w:b/>
          <w:bCs/>
          <w:color w:val="000000"/>
          <w:sz w:val="22"/>
          <w:szCs w:val="22"/>
          <w:u w:val="single"/>
        </w:rPr>
        <w:t xml:space="preserve"> – RETRAIT DU DOSSIER DE CONSULTATION</w:t>
      </w:r>
    </w:p>
    <w:p w14:paraId="1F89EBE1" w14:textId="56B3E21B" w:rsidR="00FC2DE6" w:rsidRDefault="00FC2DE6" w:rsidP="00AE25C5">
      <w:pPr>
        <w:pStyle w:val="Standard"/>
        <w:jc w:val="both"/>
        <w:rPr>
          <w:rFonts w:ascii="Calibri" w:hAnsi="Calibri"/>
          <w:color w:val="000000"/>
          <w:sz w:val="22"/>
          <w:szCs w:val="22"/>
        </w:rPr>
      </w:pPr>
      <w:r w:rsidRPr="00FC2DE6">
        <w:rPr>
          <w:rFonts w:ascii="Calibri" w:hAnsi="Calibri"/>
          <w:color w:val="000000"/>
          <w:sz w:val="22"/>
          <w:szCs w:val="22"/>
        </w:rPr>
        <w:t>Le dossier de consultation sur support papier sera remis gratuitement à chaque candidat qui en fait la demande.</w:t>
      </w:r>
    </w:p>
    <w:p w14:paraId="4DF61A2C" w14:textId="77777777" w:rsidR="00A824CD" w:rsidRPr="00FC2DE6" w:rsidRDefault="00A824CD" w:rsidP="00AE25C5">
      <w:pPr>
        <w:pStyle w:val="Standard"/>
        <w:jc w:val="both"/>
        <w:rPr>
          <w:rFonts w:ascii="Calibri" w:hAnsi="Calibri"/>
          <w:color w:val="000000"/>
          <w:sz w:val="22"/>
          <w:szCs w:val="22"/>
        </w:rPr>
      </w:pPr>
    </w:p>
    <w:p w14:paraId="092ADA1A" w14:textId="4F0FF0F9" w:rsidR="00FC2DE6" w:rsidRDefault="00FC2DE6" w:rsidP="00AE25C5">
      <w:pPr>
        <w:pStyle w:val="Standard"/>
        <w:jc w:val="both"/>
        <w:rPr>
          <w:rFonts w:ascii="Calibri" w:hAnsi="Calibri"/>
          <w:color w:val="000000"/>
          <w:sz w:val="22"/>
          <w:szCs w:val="22"/>
        </w:rPr>
      </w:pPr>
      <w:r w:rsidRPr="00FC2DE6">
        <w:rPr>
          <w:rFonts w:ascii="Calibri" w:hAnsi="Calibri"/>
          <w:color w:val="000000"/>
          <w:sz w:val="22"/>
          <w:szCs w:val="22"/>
        </w:rPr>
        <w:t>Adresse à laquelle le dossier peut être retiré ou demandé :</w:t>
      </w:r>
    </w:p>
    <w:p w14:paraId="319C5D4B" w14:textId="77777777" w:rsidR="00A824CD" w:rsidRPr="00FC2DE6" w:rsidRDefault="00A824CD" w:rsidP="00AE25C5">
      <w:pPr>
        <w:pStyle w:val="Standard"/>
        <w:jc w:val="both"/>
        <w:rPr>
          <w:rFonts w:ascii="Calibri" w:hAnsi="Calibri"/>
          <w:color w:val="000000"/>
          <w:sz w:val="22"/>
          <w:szCs w:val="22"/>
        </w:rPr>
      </w:pPr>
    </w:p>
    <w:p w14:paraId="4BFDD63C" w14:textId="77777777" w:rsidR="00FC2DE6" w:rsidRPr="00FC2DE6" w:rsidRDefault="00FC2DE6" w:rsidP="00A824CD">
      <w:pPr>
        <w:pStyle w:val="Standard"/>
        <w:ind w:left="2127"/>
        <w:jc w:val="both"/>
        <w:rPr>
          <w:rFonts w:ascii="Calibri" w:hAnsi="Calibri"/>
          <w:b/>
          <w:bCs/>
          <w:color w:val="000000"/>
          <w:sz w:val="22"/>
          <w:szCs w:val="22"/>
        </w:rPr>
      </w:pPr>
      <w:r w:rsidRPr="00FC2DE6">
        <w:rPr>
          <w:rFonts w:ascii="Calibri" w:hAnsi="Calibri"/>
          <w:b/>
          <w:bCs/>
          <w:color w:val="000000"/>
          <w:sz w:val="22"/>
          <w:szCs w:val="22"/>
        </w:rPr>
        <w:t>Mairie d’Hendaye</w:t>
      </w:r>
    </w:p>
    <w:p w14:paraId="64109DE0" w14:textId="1B23698D" w:rsidR="00FC2DE6" w:rsidRPr="00FC2DE6" w:rsidRDefault="00FC2DE6" w:rsidP="00A824CD">
      <w:pPr>
        <w:pStyle w:val="Standard"/>
        <w:ind w:left="2127"/>
        <w:jc w:val="both"/>
        <w:rPr>
          <w:rFonts w:ascii="Calibri" w:hAnsi="Calibri"/>
          <w:color w:val="000000"/>
          <w:sz w:val="22"/>
          <w:szCs w:val="22"/>
        </w:rPr>
      </w:pPr>
      <w:r w:rsidRPr="00FC2DE6">
        <w:rPr>
          <w:rFonts w:ascii="Calibri" w:hAnsi="Calibri"/>
          <w:color w:val="000000"/>
          <w:sz w:val="22"/>
          <w:szCs w:val="22"/>
        </w:rPr>
        <w:t xml:space="preserve">Direction de </w:t>
      </w:r>
      <w:r w:rsidR="00023E87" w:rsidRPr="00FC2DE6">
        <w:rPr>
          <w:rFonts w:ascii="Calibri" w:hAnsi="Calibri"/>
          <w:color w:val="000000"/>
          <w:sz w:val="22"/>
          <w:szCs w:val="22"/>
        </w:rPr>
        <w:t>l’</w:t>
      </w:r>
      <w:r w:rsidR="00023E87">
        <w:rPr>
          <w:rFonts w:ascii="Calibri" w:hAnsi="Calibri"/>
          <w:color w:val="000000"/>
          <w:sz w:val="22"/>
          <w:szCs w:val="22"/>
        </w:rPr>
        <w:t>Administration</w:t>
      </w:r>
      <w:r w:rsidRPr="00FC2DE6">
        <w:rPr>
          <w:rFonts w:ascii="Calibri" w:hAnsi="Calibri"/>
          <w:color w:val="000000"/>
          <w:sz w:val="22"/>
          <w:szCs w:val="22"/>
        </w:rPr>
        <w:t xml:space="preserve"> Générale et de la Réglementation</w:t>
      </w:r>
    </w:p>
    <w:p w14:paraId="6C8591A9" w14:textId="77777777" w:rsidR="00FC2DE6" w:rsidRPr="00FC2DE6" w:rsidRDefault="00FC2DE6" w:rsidP="00A824CD">
      <w:pPr>
        <w:pStyle w:val="Standard"/>
        <w:ind w:left="2127"/>
        <w:jc w:val="both"/>
        <w:rPr>
          <w:rFonts w:ascii="Calibri" w:hAnsi="Calibri"/>
          <w:color w:val="000000"/>
          <w:sz w:val="22"/>
          <w:szCs w:val="22"/>
        </w:rPr>
      </w:pPr>
      <w:r w:rsidRPr="00FC2DE6">
        <w:rPr>
          <w:rFonts w:ascii="Calibri" w:hAnsi="Calibri"/>
          <w:color w:val="000000"/>
          <w:sz w:val="22"/>
          <w:szCs w:val="22"/>
        </w:rPr>
        <w:t>Service Gestion du domaine public</w:t>
      </w:r>
    </w:p>
    <w:p w14:paraId="5B31E0D3" w14:textId="77777777" w:rsidR="00FC2DE6" w:rsidRPr="00FC2DE6" w:rsidRDefault="00FC2DE6" w:rsidP="00A824CD">
      <w:pPr>
        <w:pStyle w:val="Standard"/>
        <w:ind w:left="2127"/>
        <w:jc w:val="both"/>
        <w:rPr>
          <w:rFonts w:ascii="Calibri" w:hAnsi="Calibri"/>
          <w:color w:val="000000"/>
          <w:sz w:val="22"/>
          <w:szCs w:val="22"/>
        </w:rPr>
      </w:pPr>
      <w:r w:rsidRPr="00FC2DE6">
        <w:rPr>
          <w:rFonts w:ascii="Calibri" w:hAnsi="Calibri"/>
          <w:color w:val="000000"/>
          <w:sz w:val="22"/>
          <w:szCs w:val="22"/>
        </w:rPr>
        <w:t>Place de la République</w:t>
      </w:r>
    </w:p>
    <w:p w14:paraId="238AF62A" w14:textId="77777777" w:rsidR="00FC2DE6" w:rsidRPr="00FC2DE6" w:rsidRDefault="00FC2DE6" w:rsidP="00A824CD">
      <w:pPr>
        <w:pStyle w:val="Standard"/>
        <w:ind w:left="2127"/>
        <w:jc w:val="both"/>
        <w:rPr>
          <w:rFonts w:ascii="Calibri" w:hAnsi="Calibri"/>
          <w:color w:val="000000"/>
          <w:sz w:val="22"/>
          <w:szCs w:val="22"/>
        </w:rPr>
      </w:pPr>
      <w:r w:rsidRPr="00FC2DE6">
        <w:rPr>
          <w:rFonts w:ascii="Calibri" w:hAnsi="Calibri"/>
          <w:color w:val="000000"/>
          <w:sz w:val="22"/>
          <w:szCs w:val="22"/>
        </w:rPr>
        <w:t>BP 60150</w:t>
      </w:r>
    </w:p>
    <w:p w14:paraId="2512783C" w14:textId="77777777" w:rsidR="00FC2DE6" w:rsidRPr="00FC2DE6" w:rsidRDefault="00FC2DE6" w:rsidP="00A824CD">
      <w:pPr>
        <w:pStyle w:val="Standard"/>
        <w:ind w:left="2127"/>
        <w:jc w:val="both"/>
        <w:rPr>
          <w:rFonts w:ascii="Calibri" w:hAnsi="Calibri"/>
          <w:color w:val="000000"/>
          <w:sz w:val="22"/>
          <w:szCs w:val="22"/>
        </w:rPr>
      </w:pPr>
      <w:r w:rsidRPr="00FC2DE6">
        <w:rPr>
          <w:rFonts w:ascii="Calibri" w:hAnsi="Calibri"/>
          <w:color w:val="000000"/>
          <w:sz w:val="22"/>
          <w:szCs w:val="22"/>
        </w:rPr>
        <w:t>64701 HENDAYE Cedex</w:t>
      </w:r>
    </w:p>
    <w:p w14:paraId="509B5A81" w14:textId="132CC255" w:rsidR="00FC2DE6" w:rsidRDefault="00FC2DE6" w:rsidP="00A824CD">
      <w:pPr>
        <w:pStyle w:val="Standard"/>
        <w:ind w:left="2127"/>
        <w:jc w:val="both"/>
        <w:rPr>
          <w:rFonts w:ascii="Calibri" w:hAnsi="Calibri"/>
          <w:color w:val="000000"/>
          <w:sz w:val="22"/>
          <w:szCs w:val="22"/>
        </w:rPr>
      </w:pPr>
      <w:r w:rsidRPr="00FC2DE6">
        <w:rPr>
          <w:rFonts w:ascii="Calibri" w:hAnsi="Calibri"/>
          <w:color w:val="000000"/>
          <w:sz w:val="22"/>
          <w:szCs w:val="22"/>
        </w:rPr>
        <w:t>Téléphone : 05.59.20.99.62</w:t>
      </w:r>
    </w:p>
    <w:p w14:paraId="3727ED0E" w14:textId="77777777" w:rsidR="00A824CD" w:rsidRPr="00FC2DE6" w:rsidRDefault="00A824CD" w:rsidP="00A824CD">
      <w:pPr>
        <w:pStyle w:val="Standard"/>
        <w:ind w:left="2127"/>
        <w:jc w:val="both"/>
        <w:rPr>
          <w:rFonts w:ascii="Calibri" w:hAnsi="Calibri"/>
          <w:color w:val="000000"/>
          <w:sz w:val="22"/>
          <w:szCs w:val="22"/>
        </w:rPr>
      </w:pPr>
    </w:p>
    <w:p w14:paraId="72EBF65B" w14:textId="77777777" w:rsidR="00FC2DE6" w:rsidRPr="0024720D" w:rsidRDefault="00FC2DE6" w:rsidP="00AE25C5">
      <w:pPr>
        <w:pStyle w:val="Standard"/>
        <w:jc w:val="both"/>
        <w:rPr>
          <w:rFonts w:ascii="Calibri" w:hAnsi="Calibri"/>
          <w:color w:val="000000"/>
          <w:sz w:val="8"/>
          <w:szCs w:val="8"/>
          <w:shd w:val="clear" w:color="auto" w:fill="FFF200"/>
        </w:rPr>
      </w:pPr>
    </w:p>
    <w:p w14:paraId="6156E5B0" w14:textId="11BDF214" w:rsidR="00FC2DE6" w:rsidRDefault="00FC2DE6" w:rsidP="00AE25C5">
      <w:pPr>
        <w:pStyle w:val="Standard"/>
        <w:jc w:val="both"/>
        <w:rPr>
          <w:rFonts w:ascii="Calibri" w:hAnsi="Calibri" w:cs="Calibri"/>
          <w:b/>
          <w:bCs/>
          <w:color w:val="000000"/>
          <w:sz w:val="22"/>
          <w:szCs w:val="22"/>
        </w:rPr>
      </w:pPr>
      <w:r w:rsidRPr="00FC2DE6">
        <w:rPr>
          <w:rFonts w:ascii="Calibri" w:hAnsi="Calibri" w:cs="Calibri"/>
          <w:color w:val="000000"/>
          <w:sz w:val="22"/>
          <w:szCs w:val="22"/>
        </w:rPr>
        <w:t xml:space="preserve">Le dossier de consultation est également disponible sur le site internet de la Commune : </w:t>
      </w:r>
      <w:hyperlink r:id="rId9" w:history="1">
        <w:r w:rsidRPr="00A824CD">
          <w:rPr>
            <w:rFonts w:ascii="Calibri" w:hAnsi="Calibri" w:cs="Calibri"/>
            <w:b/>
            <w:bCs/>
            <w:color w:val="000000"/>
            <w:sz w:val="22"/>
            <w:szCs w:val="22"/>
          </w:rPr>
          <w:t>www.hendaye.fr</w:t>
        </w:r>
      </w:hyperlink>
    </w:p>
    <w:p w14:paraId="3AE19094" w14:textId="77777777" w:rsidR="00A824CD" w:rsidRPr="00A824CD" w:rsidRDefault="00A824CD" w:rsidP="00AE25C5">
      <w:pPr>
        <w:pStyle w:val="Standard"/>
        <w:jc w:val="both"/>
        <w:rPr>
          <w:b/>
          <w:bCs/>
          <w:sz w:val="22"/>
          <w:szCs w:val="22"/>
        </w:rPr>
      </w:pPr>
    </w:p>
    <w:p w14:paraId="5DB668AD" w14:textId="77777777" w:rsidR="00FC2DE6" w:rsidRPr="00FC2DE6" w:rsidRDefault="00FC2DE6" w:rsidP="00AE25C5">
      <w:pPr>
        <w:pStyle w:val="Standard"/>
        <w:jc w:val="both"/>
        <w:rPr>
          <w:rFonts w:ascii="Calibri" w:hAnsi="Calibri" w:cs="Calibri"/>
          <w:color w:val="000000"/>
          <w:sz w:val="22"/>
          <w:szCs w:val="22"/>
        </w:rPr>
      </w:pPr>
    </w:p>
    <w:p w14:paraId="39DAA996" w14:textId="35E81B90" w:rsidR="00FC2DE6" w:rsidRPr="007F38F1" w:rsidRDefault="00FC2DE6" w:rsidP="00AE25C5">
      <w:pPr>
        <w:jc w:val="both"/>
        <w:rPr>
          <w:rFonts w:ascii="Calibri" w:hAnsi="Calibri"/>
          <w:b/>
          <w:bCs/>
          <w:color w:val="000000"/>
          <w:u w:val="single"/>
        </w:rPr>
      </w:pPr>
      <w:r w:rsidRPr="007F38F1">
        <w:rPr>
          <w:rFonts w:ascii="Calibri" w:hAnsi="Calibri"/>
          <w:b/>
          <w:bCs/>
          <w:color w:val="000000"/>
          <w:u w:val="single"/>
        </w:rPr>
        <w:t>ARTICLE 1</w:t>
      </w:r>
      <w:r w:rsidR="00B465E3">
        <w:rPr>
          <w:rFonts w:ascii="Calibri" w:hAnsi="Calibri"/>
          <w:b/>
          <w:bCs/>
          <w:color w:val="000000"/>
          <w:u w:val="single"/>
        </w:rPr>
        <w:t>6</w:t>
      </w:r>
      <w:r w:rsidRPr="007F38F1">
        <w:rPr>
          <w:rFonts w:ascii="Calibri" w:hAnsi="Calibri"/>
          <w:b/>
          <w:bCs/>
          <w:color w:val="000000"/>
          <w:u w:val="single"/>
        </w:rPr>
        <w:t xml:space="preserve"> – CONDITIONS D’ENVOI ET DE REMISE DES CANDIDATURES ET DES OFFRES</w:t>
      </w:r>
    </w:p>
    <w:p w14:paraId="14A8B92F" w14:textId="77777777" w:rsidR="00FC2DE6" w:rsidRPr="00FC2DE6" w:rsidRDefault="00FC2DE6" w:rsidP="00AE25C5">
      <w:pPr>
        <w:jc w:val="both"/>
        <w:rPr>
          <w:rFonts w:ascii="Calibri" w:hAnsi="Calibri"/>
          <w:color w:val="000000"/>
        </w:rPr>
      </w:pPr>
      <w:r w:rsidRPr="00FC2DE6">
        <w:rPr>
          <w:rFonts w:ascii="Calibri" w:hAnsi="Calibri"/>
          <w:color w:val="000000"/>
        </w:rPr>
        <w:t>L’enveloppe extérieure comportera l’indication suivante :</w:t>
      </w:r>
    </w:p>
    <w:p w14:paraId="27D503D0" w14:textId="1E940421" w:rsidR="00FC2DE6" w:rsidRPr="00FC2DE6" w:rsidRDefault="00E41DF0" w:rsidP="00AE25C5">
      <w:pPr>
        <w:pStyle w:val="Standard"/>
        <w:jc w:val="both"/>
        <w:rPr>
          <w:rFonts w:ascii="Calibri" w:hAnsi="Calibri"/>
          <w:b/>
          <w:bCs/>
          <w:i/>
          <w:iCs/>
          <w:color w:val="000000"/>
          <w:sz w:val="22"/>
          <w:szCs w:val="22"/>
        </w:rPr>
      </w:pPr>
      <w:r w:rsidRPr="00FC2DE6">
        <w:rPr>
          <w:rFonts w:ascii="Calibri" w:hAnsi="Calibri"/>
          <w:b/>
          <w:bCs/>
          <w:i/>
          <w:iCs/>
          <w:color w:val="000000"/>
          <w:sz w:val="22"/>
          <w:szCs w:val="22"/>
        </w:rPr>
        <w:t>«</w:t>
      </w:r>
      <w:r>
        <w:rPr>
          <w:rFonts w:ascii="Calibri" w:hAnsi="Calibri"/>
          <w:b/>
          <w:bCs/>
          <w:i/>
          <w:iCs/>
          <w:color w:val="000000"/>
          <w:sz w:val="22"/>
          <w:szCs w:val="22"/>
        </w:rPr>
        <w:t xml:space="preserve"> AOT</w:t>
      </w:r>
      <w:r w:rsidR="00BC3B2D">
        <w:rPr>
          <w:rFonts w:ascii="Calibri" w:hAnsi="Calibri"/>
          <w:b/>
          <w:bCs/>
          <w:i/>
          <w:iCs/>
          <w:color w:val="000000"/>
          <w:sz w:val="22"/>
          <w:szCs w:val="22"/>
        </w:rPr>
        <w:t xml:space="preserve"> POUR L’EXPLOITATION D’UNE CABANE DE PLAGE DESTINEE A LA VENTE DE PRODUITS ALIMENTAIRES</w:t>
      </w:r>
      <w:r w:rsidR="00FC2DE6" w:rsidRPr="00FC2DE6">
        <w:rPr>
          <w:rFonts w:ascii="Calibri" w:hAnsi="Calibri"/>
          <w:b/>
          <w:bCs/>
          <w:i/>
          <w:iCs/>
          <w:color w:val="000000"/>
          <w:sz w:val="22"/>
          <w:szCs w:val="22"/>
        </w:rPr>
        <w:t xml:space="preserve"> – Ville d’Hendaye – NE PAS OUVRIR ».</w:t>
      </w:r>
    </w:p>
    <w:p w14:paraId="31FFFDD5" w14:textId="77777777" w:rsidR="00FC2DE6" w:rsidRPr="00FC2DE6" w:rsidRDefault="00FC2DE6" w:rsidP="00AE25C5">
      <w:pPr>
        <w:jc w:val="both"/>
      </w:pPr>
      <w:r w:rsidRPr="00FC2DE6">
        <w:rPr>
          <w:rFonts w:ascii="Calibri" w:hAnsi="Calibri"/>
          <w:color w:val="000000"/>
        </w:rPr>
        <w:t xml:space="preserve">Les enveloppes intérieures porteront chacune </w:t>
      </w:r>
      <w:r w:rsidRPr="00FC2DE6">
        <w:rPr>
          <w:rFonts w:ascii="Calibri" w:hAnsi="Calibri"/>
          <w:color w:val="000000"/>
          <w:u w:val="single"/>
        </w:rPr>
        <w:t xml:space="preserve">le nom du candidat, </w:t>
      </w:r>
      <w:r w:rsidRPr="00FC2DE6">
        <w:rPr>
          <w:rFonts w:ascii="Calibri" w:hAnsi="Calibri"/>
          <w:color w:val="000000"/>
        </w:rPr>
        <w:t>ainsi que respectivement les mentions :</w:t>
      </w:r>
    </w:p>
    <w:p w14:paraId="44B9A1DB" w14:textId="77777777" w:rsidR="00FC2DE6" w:rsidRPr="00FC2DE6" w:rsidRDefault="00FC2DE6" w:rsidP="00AE25C5">
      <w:pPr>
        <w:jc w:val="both"/>
        <w:rPr>
          <w:rFonts w:ascii="Calibri" w:hAnsi="Calibri"/>
          <w:color w:val="000000"/>
        </w:rPr>
      </w:pPr>
      <w:r w:rsidRPr="00FC2DE6">
        <w:rPr>
          <w:rFonts w:ascii="Calibri" w:hAnsi="Calibri"/>
          <w:color w:val="000000"/>
        </w:rPr>
        <w:t>- 1ère enveloppe : « Candidature »</w:t>
      </w:r>
    </w:p>
    <w:p w14:paraId="61A36EE2" w14:textId="1109CC5C" w:rsidR="00FC2DE6" w:rsidRDefault="00FC2DE6" w:rsidP="00AE25C5">
      <w:pPr>
        <w:jc w:val="both"/>
        <w:rPr>
          <w:rFonts w:ascii="Calibri" w:hAnsi="Calibri"/>
          <w:color w:val="000000"/>
        </w:rPr>
      </w:pPr>
      <w:r w:rsidRPr="00FC2DE6">
        <w:rPr>
          <w:rFonts w:ascii="Calibri" w:hAnsi="Calibri"/>
          <w:color w:val="000000"/>
        </w:rPr>
        <w:t>- 2ème enveloppe : « Offre »</w:t>
      </w:r>
    </w:p>
    <w:p w14:paraId="6BEECBCC" w14:textId="38B4F97C" w:rsidR="0024720D" w:rsidRPr="00C20869" w:rsidRDefault="0024720D" w:rsidP="00AE25C5">
      <w:pPr>
        <w:pStyle w:val="ParagrapheIndent1"/>
        <w:spacing w:after="240" w:line="232" w:lineRule="exact"/>
        <w:ind w:left="20" w:right="20"/>
        <w:jc w:val="both"/>
        <w:rPr>
          <w:rFonts w:asciiTheme="minorHAnsi" w:hAnsiTheme="minorHAnsi" w:cstheme="minorHAnsi"/>
          <w:color w:val="000000"/>
          <w:sz w:val="22"/>
          <w:szCs w:val="22"/>
          <w:lang w:val="fr-FR"/>
        </w:rPr>
      </w:pPr>
      <w:r w:rsidRPr="00C20869">
        <w:rPr>
          <w:rFonts w:asciiTheme="minorHAnsi" w:hAnsiTheme="minorHAnsi" w:cstheme="minorHAnsi"/>
          <w:color w:val="000000"/>
          <w:sz w:val="22"/>
          <w:szCs w:val="22"/>
          <w:lang w:val="fr-FR"/>
        </w:rPr>
        <w:t>Les plis</w:t>
      </w:r>
      <w:r>
        <w:rPr>
          <w:rFonts w:asciiTheme="minorHAnsi" w:hAnsiTheme="minorHAnsi" w:cstheme="minorHAnsi"/>
          <w:color w:val="000000"/>
          <w:sz w:val="22"/>
          <w:szCs w:val="22"/>
          <w:lang w:val="fr-FR"/>
        </w:rPr>
        <w:t xml:space="preserve"> (enveloppe extérieure contenant les 2 enveloppes intérieures)</w:t>
      </w:r>
      <w:r w:rsidRPr="00C20869">
        <w:rPr>
          <w:rFonts w:asciiTheme="minorHAnsi" w:hAnsiTheme="minorHAnsi" w:cstheme="minorHAnsi"/>
          <w:color w:val="000000"/>
          <w:sz w:val="22"/>
          <w:szCs w:val="22"/>
          <w:lang w:val="fr-FR"/>
        </w:rPr>
        <w:t xml:space="preserve"> devront parvenir à destination avant la date et l'heure limites de réception des offres suivantes</w:t>
      </w:r>
      <w:r>
        <w:rPr>
          <w:rFonts w:asciiTheme="minorHAnsi" w:hAnsiTheme="minorHAnsi" w:cstheme="minorHAnsi"/>
          <w:color w:val="000000"/>
          <w:sz w:val="22"/>
          <w:szCs w:val="22"/>
          <w:lang w:val="fr-FR"/>
        </w:rPr>
        <w:t xml:space="preserve"> soit avant le </w:t>
      </w:r>
      <w:r w:rsidRPr="00C20869">
        <w:rPr>
          <w:rFonts w:asciiTheme="minorHAnsi" w:hAnsiTheme="minorHAnsi" w:cstheme="minorHAnsi"/>
          <w:color w:val="000000"/>
          <w:sz w:val="22"/>
          <w:szCs w:val="22"/>
          <w:lang w:val="fr-FR"/>
        </w:rPr>
        <w:t>:</w:t>
      </w:r>
    </w:p>
    <w:p w14:paraId="5224E194" w14:textId="3C1458E1" w:rsidR="0024720D" w:rsidRDefault="00023E87" w:rsidP="00AE25C5">
      <w:pPr>
        <w:pStyle w:val="ParagrapheIndent1"/>
        <w:spacing w:after="240" w:line="232" w:lineRule="exact"/>
        <w:ind w:left="20" w:right="20"/>
        <w:jc w:val="both"/>
        <w:rPr>
          <w:rFonts w:asciiTheme="minorHAnsi" w:hAnsiTheme="minorHAnsi" w:cstheme="minorHAnsi"/>
          <w:color w:val="000000"/>
          <w:sz w:val="22"/>
          <w:szCs w:val="22"/>
          <w:lang w:val="fr-FR"/>
        </w:rPr>
      </w:pPr>
      <w:r w:rsidRPr="00023E87">
        <w:rPr>
          <w:rFonts w:asciiTheme="minorHAnsi" w:hAnsiTheme="minorHAnsi" w:cstheme="minorHAnsi"/>
          <w:color w:val="000000"/>
          <w:sz w:val="22"/>
          <w:szCs w:val="22"/>
          <w:lang w:val="fr-FR"/>
        </w:rPr>
        <w:t>30 avril</w:t>
      </w:r>
      <w:r w:rsidR="0024720D" w:rsidRPr="00023E87">
        <w:rPr>
          <w:rFonts w:asciiTheme="minorHAnsi" w:hAnsiTheme="minorHAnsi" w:cstheme="minorHAnsi"/>
          <w:color w:val="000000"/>
          <w:sz w:val="22"/>
          <w:szCs w:val="22"/>
          <w:lang w:val="fr-FR"/>
        </w:rPr>
        <w:t xml:space="preserve"> 2021, à </w:t>
      </w:r>
      <w:r w:rsidRPr="00023E87">
        <w:rPr>
          <w:rFonts w:asciiTheme="minorHAnsi" w:hAnsiTheme="minorHAnsi" w:cstheme="minorHAnsi"/>
          <w:color w:val="000000"/>
          <w:sz w:val="22"/>
          <w:szCs w:val="22"/>
          <w:lang w:val="fr-FR"/>
        </w:rPr>
        <w:t>12</w:t>
      </w:r>
      <w:r w:rsidR="0024720D" w:rsidRPr="00023E87">
        <w:rPr>
          <w:rFonts w:asciiTheme="minorHAnsi" w:hAnsiTheme="minorHAnsi" w:cstheme="minorHAnsi"/>
          <w:color w:val="000000"/>
          <w:sz w:val="22"/>
          <w:szCs w:val="22"/>
          <w:lang w:val="fr-FR"/>
        </w:rPr>
        <w:t>H</w:t>
      </w:r>
      <w:r w:rsidRPr="00023E87">
        <w:rPr>
          <w:rFonts w:asciiTheme="minorHAnsi" w:hAnsiTheme="minorHAnsi" w:cstheme="minorHAnsi"/>
          <w:color w:val="000000"/>
          <w:sz w:val="22"/>
          <w:szCs w:val="22"/>
          <w:lang w:val="fr-FR"/>
        </w:rPr>
        <w:t>00</w:t>
      </w:r>
      <w:r w:rsidR="0024720D" w:rsidRPr="00023E87">
        <w:rPr>
          <w:rFonts w:asciiTheme="minorHAnsi" w:hAnsiTheme="minorHAnsi" w:cstheme="minorHAnsi"/>
          <w:color w:val="000000"/>
          <w:sz w:val="22"/>
          <w:szCs w:val="22"/>
          <w:lang w:val="fr-FR"/>
        </w:rPr>
        <w:t>.</w:t>
      </w:r>
    </w:p>
    <w:p w14:paraId="459A9C86" w14:textId="55457A05" w:rsidR="0024720D" w:rsidRPr="0024720D" w:rsidRDefault="0024720D" w:rsidP="00AE25C5">
      <w:pPr>
        <w:pStyle w:val="ParagrapheIndent1"/>
        <w:spacing w:after="240" w:line="232" w:lineRule="exact"/>
        <w:ind w:left="20" w:right="2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Les plis pourront être : </w:t>
      </w:r>
    </w:p>
    <w:p w14:paraId="4E594288" w14:textId="04EB8B7A" w:rsidR="00FC2DE6" w:rsidRPr="00FC2DE6" w:rsidRDefault="00FC2DE6" w:rsidP="00AE25C5">
      <w:pPr>
        <w:jc w:val="both"/>
      </w:pPr>
      <w:r w:rsidRPr="00FC2DE6">
        <w:rPr>
          <w:rFonts w:ascii="Calibri" w:hAnsi="Calibri"/>
          <w:b/>
          <w:bCs/>
          <w:color w:val="000000"/>
          <w:u w:val="single"/>
        </w:rPr>
        <w:t>- envoyé</w:t>
      </w:r>
      <w:r w:rsidR="0024720D">
        <w:rPr>
          <w:rFonts w:ascii="Calibri" w:hAnsi="Calibri"/>
          <w:b/>
          <w:bCs/>
          <w:color w:val="000000"/>
          <w:u w:val="single"/>
        </w:rPr>
        <w:t>s</w:t>
      </w:r>
      <w:r w:rsidRPr="00FC2DE6">
        <w:rPr>
          <w:rFonts w:ascii="Calibri" w:hAnsi="Calibri"/>
          <w:b/>
          <w:bCs/>
          <w:color w:val="000000"/>
          <w:u w:val="single"/>
        </w:rPr>
        <w:t xml:space="preserve"> par courrier à :</w:t>
      </w:r>
      <w:r w:rsidRPr="00FC2DE6">
        <w:rPr>
          <w:rFonts w:ascii="Calibri" w:hAnsi="Calibri"/>
          <w:color w:val="000000"/>
        </w:rPr>
        <w:t xml:space="preserve"> Monsieur le Maire – Direction Administration Générale et Réglementation – Hôtel de ville – Place de la République – BP 60150 – 64701 HENDAYE Cedex</w:t>
      </w:r>
    </w:p>
    <w:p w14:paraId="515A3F49" w14:textId="5B528C1A" w:rsidR="00FC2DE6" w:rsidRPr="00FC2DE6" w:rsidRDefault="00FC2DE6" w:rsidP="00AE25C5">
      <w:pPr>
        <w:jc w:val="both"/>
      </w:pPr>
      <w:r w:rsidRPr="00FC2DE6">
        <w:rPr>
          <w:rFonts w:ascii="Calibri" w:hAnsi="Calibri"/>
          <w:b/>
          <w:bCs/>
          <w:color w:val="000000"/>
          <w:u w:val="single"/>
        </w:rPr>
        <w:t>-  remis contre récépissé</w:t>
      </w:r>
      <w:r w:rsidRPr="00FC2DE6">
        <w:rPr>
          <w:rFonts w:ascii="Calibri" w:hAnsi="Calibri"/>
          <w:color w:val="000000"/>
        </w:rPr>
        <w:t xml:space="preserve"> à la Direction de l’Administration Générale et de la Réglementation avant la date limite, soit</w:t>
      </w:r>
    </w:p>
    <w:p w14:paraId="0E3AB23B" w14:textId="0035B56A" w:rsidR="00FC2DE6" w:rsidRDefault="0024720D" w:rsidP="00AE25C5">
      <w:pPr>
        <w:jc w:val="both"/>
        <w:rPr>
          <w:rFonts w:ascii="Calibri" w:hAnsi="Calibri"/>
          <w:color w:val="000000"/>
        </w:rPr>
      </w:pPr>
      <w:r w:rsidRPr="0024720D">
        <w:rPr>
          <w:rFonts w:ascii="Calibri" w:hAnsi="Calibri"/>
          <w:color w:val="000000"/>
        </w:rPr>
        <w:t xml:space="preserve">- </w:t>
      </w:r>
      <w:r w:rsidRPr="0024720D">
        <w:rPr>
          <w:rFonts w:ascii="Calibri" w:hAnsi="Calibri"/>
          <w:b/>
          <w:bCs/>
          <w:color w:val="000000"/>
          <w:u w:val="single"/>
        </w:rPr>
        <w:t>transmis par voie électronique</w:t>
      </w:r>
      <w:r w:rsidRPr="0024720D">
        <w:rPr>
          <w:rFonts w:ascii="Calibri" w:hAnsi="Calibri"/>
          <w:color w:val="000000"/>
        </w:rPr>
        <w:t xml:space="preserve"> à l’adresse suivante : </w:t>
      </w:r>
      <w:hyperlink r:id="rId10" w:history="1">
        <w:r w:rsidRPr="00455A7A">
          <w:rPr>
            <w:rStyle w:val="Lienhypertexte"/>
            <w:rFonts w:ascii="Calibri" w:hAnsi="Calibri"/>
          </w:rPr>
          <w:t>dga@hendaye.com</w:t>
        </w:r>
      </w:hyperlink>
      <w:r>
        <w:rPr>
          <w:rFonts w:ascii="Calibri" w:hAnsi="Calibri"/>
          <w:color w:val="000000"/>
        </w:rPr>
        <w:t>.</w:t>
      </w:r>
    </w:p>
    <w:p w14:paraId="58D530C6" w14:textId="77777777" w:rsidR="0024720D" w:rsidRPr="00C20869" w:rsidRDefault="0024720D" w:rsidP="00AE25C5">
      <w:pPr>
        <w:pStyle w:val="Sansinterligne"/>
        <w:jc w:val="both"/>
      </w:pPr>
      <w:r w:rsidRPr="00C20869">
        <w:t>Chaque transmission fera l’objet d’une date certaine de réception et d’un accusé de réception électronique.</w:t>
      </w:r>
    </w:p>
    <w:p w14:paraId="05BCF134" w14:textId="77777777" w:rsidR="0024720D" w:rsidRPr="00C20869" w:rsidRDefault="0024720D" w:rsidP="00AE25C5">
      <w:pPr>
        <w:pStyle w:val="Sansinterligne"/>
        <w:jc w:val="both"/>
      </w:pPr>
      <w:r w:rsidRPr="00C20869">
        <w:t>Aucun format électronique n’est préconisé pour la transmission des documents. Cependant les fichiers devront être transmis dans des formats largement disponibles.</w:t>
      </w:r>
    </w:p>
    <w:p w14:paraId="3C7E0021" w14:textId="6851377C" w:rsidR="0024720D" w:rsidRPr="00C20869" w:rsidRDefault="0024720D" w:rsidP="00AE25C5">
      <w:pPr>
        <w:pStyle w:val="Sansinterligne"/>
        <w:jc w:val="both"/>
      </w:pPr>
      <w:r w:rsidRPr="00C20869">
        <w:t>Les formats électroniques dans lesquels les documents peuvent être transmis sont les suivants : Doc., PDF, JPG,</w:t>
      </w:r>
      <w:r w:rsidR="005506DF">
        <w:t xml:space="preserve"> </w:t>
      </w:r>
      <w:r w:rsidRPr="00C20869">
        <w:t>Open Office, Excel, Word.</w:t>
      </w:r>
    </w:p>
    <w:p w14:paraId="48D7BA38" w14:textId="77777777" w:rsidR="0024720D" w:rsidRPr="005506DF" w:rsidRDefault="0024720D" w:rsidP="00AE25C5">
      <w:pPr>
        <w:pStyle w:val="Sansinterligne"/>
        <w:jc w:val="both"/>
        <w:rPr>
          <w:sz w:val="8"/>
          <w:szCs w:val="8"/>
        </w:rPr>
      </w:pPr>
    </w:p>
    <w:p w14:paraId="11C99B95" w14:textId="2A39C558" w:rsidR="004438D1" w:rsidRPr="00C20869" w:rsidRDefault="0024720D" w:rsidP="005413A4">
      <w:pPr>
        <w:pStyle w:val="Sansinterligne"/>
        <w:jc w:val="both"/>
        <w:rPr>
          <w:rFonts w:cstheme="minorHAnsi"/>
        </w:rPr>
      </w:pPr>
      <w:r w:rsidRPr="00C20869">
        <w:t>Si une nouvelle offre est envoyée par voie électronique par le même candidat, celle-ci annule et remplace l’offre précédente.</w:t>
      </w:r>
    </w:p>
    <w:sectPr w:rsidR="004438D1" w:rsidRPr="00C20869" w:rsidSect="00FA6FFC">
      <w:headerReference w:type="default" r:id="rId11"/>
      <w:footerReference w:type="default" r:id="rId12"/>
      <w:pgSz w:w="11906" w:h="16838"/>
      <w:pgMar w:top="1417" w:right="1417" w:bottom="1417" w:left="1417" w:header="708"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EBD6B" w14:textId="77777777" w:rsidR="00257449" w:rsidRDefault="00257449" w:rsidP="00FA6FFC">
      <w:pPr>
        <w:spacing w:after="0" w:line="240" w:lineRule="auto"/>
      </w:pPr>
      <w:r>
        <w:separator/>
      </w:r>
    </w:p>
  </w:endnote>
  <w:endnote w:type="continuationSeparator" w:id="0">
    <w:p w14:paraId="0A548534" w14:textId="77777777" w:rsidR="00257449" w:rsidRDefault="00257449" w:rsidP="00FA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ckwell">
    <w:altName w:val="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87A79" w14:textId="5EA9D9C8" w:rsidR="00FA6FFC" w:rsidRDefault="00FA6FFC" w:rsidP="00FA6FFC">
    <w:pPr>
      <w:pStyle w:val="Pieddepage"/>
      <w:jc w:val="center"/>
    </w:pPr>
    <w:r>
      <w:rPr>
        <w:rFonts w:ascii="Rockwell" w:hAnsi="Rockwell" w:cs="Rockwell"/>
        <w:sz w:val="16"/>
        <w:szCs w:val="16"/>
      </w:rPr>
      <w:t>Ville d’Hendaye</w:t>
    </w:r>
  </w:p>
  <w:p w14:paraId="487F27CF" w14:textId="1ACB0884" w:rsidR="00FA6FFC" w:rsidRDefault="00FA6FFC" w:rsidP="00FA6FFC">
    <w:pPr>
      <w:pStyle w:val="Pieddepage"/>
      <w:jc w:val="center"/>
    </w:pPr>
    <w:r>
      <w:rPr>
        <w:rFonts w:ascii="Rockwell" w:hAnsi="Rockwell" w:cs="Rockwell"/>
        <w:sz w:val="16"/>
        <w:szCs w:val="16"/>
      </w:rPr>
      <w:t>AOT pour l’exploitation de cabane destinée à la vente de produits alimentaires</w:t>
    </w:r>
  </w:p>
  <w:p w14:paraId="6B45E1D0" w14:textId="7B9DA626" w:rsidR="00FA6FFC" w:rsidRDefault="00FA6FFC">
    <w:pPr>
      <w:pStyle w:val="Pieddepage"/>
    </w:pPr>
  </w:p>
  <w:p w14:paraId="5A1EFE60" w14:textId="77777777" w:rsidR="00FA6FFC" w:rsidRDefault="00FA6F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1FD9F" w14:textId="77777777" w:rsidR="00257449" w:rsidRDefault="00257449" w:rsidP="00FA6FFC">
      <w:pPr>
        <w:spacing w:after="0" w:line="240" w:lineRule="auto"/>
      </w:pPr>
      <w:r>
        <w:separator/>
      </w:r>
    </w:p>
  </w:footnote>
  <w:footnote w:type="continuationSeparator" w:id="0">
    <w:p w14:paraId="2108E31A" w14:textId="77777777" w:rsidR="00257449" w:rsidRDefault="00257449" w:rsidP="00FA6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337793"/>
      <w:docPartObj>
        <w:docPartGallery w:val="Page Numbers (Top of Page)"/>
        <w:docPartUnique/>
      </w:docPartObj>
    </w:sdtPr>
    <w:sdtEndPr/>
    <w:sdtContent>
      <w:p w14:paraId="03F18614" w14:textId="290C9159" w:rsidR="00FA6FFC" w:rsidRDefault="00FA6FFC">
        <w:pPr>
          <w:pStyle w:val="En-tte"/>
          <w:jc w:val="right"/>
        </w:pPr>
        <w:r>
          <w:fldChar w:fldCharType="begin"/>
        </w:r>
        <w:r>
          <w:instrText>PAGE   \* MERGEFORMAT</w:instrText>
        </w:r>
        <w:r>
          <w:fldChar w:fldCharType="separate"/>
        </w:r>
        <w:r>
          <w:t>2</w:t>
        </w:r>
        <w:r>
          <w:fldChar w:fldCharType="end"/>
        </w:r>
      </w:p>
    </w:sdtContent>
  </w:sdt>
  <w:p w14:paraId="65FDB7CC" w14:textId="77777777" w:rsidR="00FA6FFC" w:rsidRDefault="00FA6F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4C31"/>
    <w:multiLevelType w:val="hybridMultilevel"/>
    <w:tmpl w:val="DDAEE4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C17DB9"/>
    <w:multiLevelType w:val="hybridMultilevel"/>
    <w:tmpl w:val="DDAEE4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63560F"/>
    <w:multiLevelType w:val="hybridMultilevel"/>
    <w:tmpl w:val="C6FE799A"/>
    <w:lvl w:ilvl="0" w:tplc="38F8D85C">
      <w:start w:val="1"/>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1CF4779B"/>
    <w:multiLevelType w:val="hybridMultilevel"/>
    <w:tmpl w:val="57BC1D44"/>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935008"/>
    <w:multiLevelType w:val="hybridMultilevel"/>
    <w:tmpl w:val="8FB0BB66"/>
    <w:lvl w:ilvl="0" w:tplc="1138E84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289C22FD"/>
    <w:multiLevelType w:val="hybridMultilevel"/>
    <w:tmpl w:val="F8A207CA"/>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BC1392F"/>
    <w:multiLevelType w:val="hybridMultilevel"/>
    <w:tmpl w:val="FE3A9674"/>
    <w:lvl w:ilvl="0" w:tplc="38F8D85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F7F52"/>
    <w:multiLevelType w:val="multilevel"/>
    <w:tmpl w:val="706EA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437C1"/>
    <w:multiLevelType w:val="hybridMultilevel"/>
    <w:tmpl w:val="71544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4D0819"/>
    <w:multiLevelType w:val="hybridMultilevel"/>
    <w:tmpl w:val="F20425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5B5E7E"/>
    <w:multiLevelType w:val="hybridMultilevel"/>
    <w:tmpl w:val="C2F0ED62"/>
    <w:lvl w:ilvl="0" w:tplc="3006D396">
      <w:start w:val="1"/>
      <w:numFmt w:val="lowerLetter"/>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11" w15:restartNumberingAfterBreak="0">
    <w:nsid w:val="4A224941"/>
    <w:multiLevelType w:val="multilevel"/>
    <w:tmpl w:val="144ACA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F356BDE"/>
    <w:multiLevelType w:val="hybridMultilevel"/>
    <w:tmpl w:val="2F9E4736"/>
    <w:lvl w:ilvl="0" w:tplc="040C0017">
      <w:start w:val="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805781"/>
    <w:multiLevelType w:val="hybridMultilevel"/>
    <w:tmpl w:val="B462C7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161944"/>
    <w:multiLevelType w:val="hybridMultilevel"/>
    <w:tmpl w:val="797291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2"/>
  </w:num>
  <w:num w:numId="5">
    <w:abstractNumId w:val="1"/>
  </w:num>
  <w:num w:numId="6">
    <w:abstractNumId w:val="11"/>
  </w:num>
  <w:num w:numId="7">
    <w:abstractNumId w:val="14"/>
  </w:num>
  <w:num w:numId="8">
    <w:abstractNumId w:val="13"/>
  </w:num>
  <w:num w:numId="9">
    <w:abstractNumId w:val="12"/>
  </w:num>
  <w:num w:numId="10">
    <w:abstractNumId w:val="4"/>
  </w:num>
  <w:num w:numId="11">
    <w:abstractNumId w:val="3"/>
  </w:num>
  <w:num w:numId="12">
    <w:abstractNumId w:val="7"/>
  </w:num>
  <w:num w:numId="13">
    <w:abstractNumId w:val="5"/>
  </w:num>
  <w:num w:numId="14">
    <w:abstractNumId w:val="8"/>
  </w:num>
  <w:num w:numId="15">
    <w:abstractNumId w:val="6"/>
  </w:num>
  <w:num w:numId="1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2F"/>
    <w:rsid w:val="00010C76"/>
    <w:rsid w:val="00023E87"/>
    <w:rsid w:val="00041D5D"/>
    <w:rsid w:val="000428A1"/>
    <w:rsid w:val="000555C4"/>
    <w:rsid w:val="001101F8"/>
    <w:rsid w:val="00112A2F"/>
    <w:rsid w:val="001861E4"/>
    <w:rsid w:val="001919E9"/>
    <w:rsid w:val="0024720D"/>
    <w:rsid w:val="00255518"/>
    <w:rsid w:val="00257210"/>
    <w:rsid w:val="00257449"/>
    <w:rsid w:val="002B4886"/>
    <w:rsid w:val="0033400A"/>
    <w:rsid w:val="00361B8C"/>
    <w:rsid w:val="003D3D4E"/>
    <w:rsid w:val="003E1FC6"/>
    <w:rsid w:val="0041540F"/>
    <w:rsid w:val="004203C8"/>
    <w:rsid w:val="004438D1"/>
    <w:rsid w:val="004973ED"/>
    <w:rsid w:val="004A03EE"/>
    <w:rsid w:val="0050420E"/>
    <w:rsid w:val="0051280F"/>
    <w:rsid w:val="005413A4"/>
    <w:rsid w:val="005506DF"/>
    <w:rsid w:val="00594127"/>
    <w:rsid w:val="005A2481"/>
    <w:rsid w:val="005E3311"/>
    <w:rsid w:val="006224FC"/>
    <w:rsid w:val="00651E9B"/>
    <w:rsid w:val="006E3D00"/>
    <w:rsid w:val="007567F2"/>
    <w:rsid w:val="0079685C"/>
    <w:rsid w:val="007F38F1"/>
    <w:rsid w:val="00812978"/>
    <w:rsid w:val="00841A68"/>
    <w:rsid w:val="00854E81"/>
    <w:rsid w:val="00857096"/>
    <w:rsid w:val="00873BCE"/>
    <w:rsid w:val="008937AF"/>
    <w:rsid w:val="008F4618"/>
    <w:rsid w:val="00A17B58"/>
    <w:rsid w:val="00A24712"/>
    <w:rsid w:val="00A70FD5"/>
    <w:rsid w:val="00A824CD"/>
    <w:rsid w:val="00AB571E"/>
    <w:rsid w:val="00AE25C5"/>
    <w:rsid w:val="00AE4397"/>
    <w:rsid w:val="00B14A75"/>
    <w:rsid w:val="00B465E3"/>
    <w:rsid w:val="00B87E0C"/>
    <w:rsid w:val="00B947D1"/>
    <w:rsid w:val="00BC3B2D"/>
    <w:rsid w:val="00C05C97"/>
    <w:rsid w:val="00C20869"/>
    <w:rsid w:val="00C66D70"/>
    <w:rsid w:val="00C71EA7"/>
    <w:rsid w:val="00D45258"/>
    <w:rsid w:val="00D975D0"/>
    <w:rsid w:val="00DD78F8"/>
    <w:rsid w:val="00E270EF"/>
    <w:rsid w:val="00E41DF0"/>
    <w:rsid w:val="00E43BBB"/>
    <w:rsid w:val="00E929C5"/>
    <w:rsid w:val="00EB6970"/>
    <w:rsid w:val="00EC4B1D"/>
    <w:rsid w:val="00EE297B"/>
    <w:rsid w:val="00EE646A"/>
    <w:rsid w:val="00F60485"/>
    <w:rsid w:val="00F747CA"/>
    <w:rsid w:val="00FA6FFC"/>
    <w:rsid w:val="00FC2DE6"/>
    <w:rsid w:val="00FF0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1A9CF"/>
  <w15:chartTrackingRefBased/>
  <w15:docId w15:val="{DA77D9D1-AF54-4B2B-8CEF-616DF36C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4712"/>
    <w:pPr>
      <w:ind w:left="720"/>
      <w:contextualSpacing/>
    </w:pPr>
  </w:style>
  <w:style w:type="paragraph" w:customStyle="1" w:styleId="Titre11">
    <w:name w:val="Titre 11"/>
    <w:basedOn w:val="Normal"/>
    <w:rsid w:val="0051280F"/>
    <w:pPr>
      <w:keepNext/>
      <w:suppressAutoHyphens/>
      <w:spacing w:after="0" w:line="240" w:lineRule="auto"/>
      <w:outlineLvl w:val="0"/>
    </w:pPr>
    <w:rPr>
      <w:rFonts w:ascii="Times New Roman" w:eastAsia="Times New Roman" w:hAnsi="Times New Roman" w:cs="Times New Roman"/>
      <w:b/>
      <w:sz w:val="24"/>
      <w:szCs w:val="20"/>
      <w:u w:val="single"/>
      <w:lang w:eastAsia="zh-CN"/>
    </w:rPr>
  </w:style>
  <w:style w:type="paragraph" w:customStyle="1" w:styleId="Titre12">
    <w:name w:val="Titre 12"/>
    <w:basedOn w:val="Normal"/>
    <w:rsid w:val="0051280F"/>
    <w:pPr>
      <w:suppressAutoHyphens/>
      <w:spacing w:after="0" w:line="240" w:lineRule="auto"/>
      <w:ind w:left="1416"/>
      <w:jc w:val="both"/>
    </w:pPr>
    <w:rPr>
      <w:rFonts w:ascii="Times New Roman" w:eastAsia="Times New Roman" w:hAnsi="Times New Roman" w:cs="Times New Roman"/>
      <w:b/>
      <w:i/>
      <w:sz w:val="24"/>
      <w:szCs w:val="20"/>
      <w:u w:val="single"/>
      <w:lang w:eastAsia="zh-CN"/>
    </w:rPr>
  </w:style>
  <w:style w:type="paragraph" w:customStyle="1" w:styleId="ParagrapheIndent1">
    <w:name w:val="ParagrapheIndent1"/>
    <w:basedOn w:val="Normal"/>
    <w:rsid w:val="00FF060C"/>
    <w:pPr>
      <w:suppressAutoHyphens/>
      <w:spacing w:after="0" w:line="240" w:lineRule="auto"/>
    </w:pPr>
    <w:rPr>
      <w:rFonts w:ascii="Trebuchet MS" w:eastAsia="Trebuchet MS" w:hAnsi="Trebuchet MS" w:cs="Trebuchet MS"/>
      <w:sz w:val="20"/>
      <w:szCs w:val="24"/>
      <w:lang w:val="en-US" w:eastAsia="ar-SA"/>
    </w:rPr>
  </w:style>
  <w:style w:type="paragraph" w:customStyle="1" w:styleId="ParagrapheIndent2">
    <w:name w:val="ParagrapheIndent2"/>
    <w:basedOn w:val="Normal"/>
    <w:rsid w:val="00FF060C"/>
    <w:pPr>
      <w:suppressAutoHyphens/>
      <w:spacing w:after="0" w:line="240" w:lineRule="auto"/>
    </w:pPr>
    <w:rPr>
      <w:rFonts w:ascii="Trebuchet MS" w:eastAsia="Trebuchet MS" w:hAnsi="Trebuchet MS" w:cs="Trebuchet MS"/>
      <w:sz w:val="20"/>
      <w:szCs w:val="24"/>
      <w:lang w:val="en-US" w:eastAsia="ar-SA"/>
    </w:rPr>
  </w:style>
  <w:style w:type="character" w:styleId="Lienhypertexte">
    <w:name w:val="Hyperlink"/>
    <w:basedOn w:val="Policepardfaut"/>
    <w:uiPriority w:val="99"/>
    <w:unhideWhenUsed/>
    <w:rsid w:val="00FF060C"/>
    <w:rPr>
      <w:color w:val="0563C1" w:themeColor="hyperlink"/>
      <w:u w:val="single"/>
    </w:rPr>
  </w:style>
  <w:style w:type="character" w:styleId="Mentionnonrsolue">
    <w:name w:val="Unresolved Mention"/>
    <w:basedOn w:val="Policepardfaut"/>
    <w:uiPriority w:val="99"/>
    <w:semiHidden/>
    <w:unhideWhenUsed/>
    <w:rsid w:val="00FF060C"/>
    <w:rPr>
      <w:color w:val="605E5C"/>
      <w:shd w:val="clear" w:color="auto" w:fill="E1DFDD"/>
    </w:rPr>
  </w:style>
  <w:style w:type="paragraph" w:styleId="En-tte">
    <w:name w:val="header"/>
    <w:basedOn w:val="Normal"/>
    <w:link w:val="En-tteCar"/>
    <w:uiPriority w:val="99"/>
    <w:unhideWhenUsed/>
    <w:rsid w:val="00FA6FFC"/>
    <w:pPr>
      <w:tabs>
        <w:tab w:val="center" w:pos="4536"/>
        <w:tab w:val="right" w:pos="9072"/>
      </w:tabs>
      <w:spacing w:after="0" w:line="240" w:lineRule="auto"/>
    </w:pPr>
  </w:style>
  <w:style w:type="character" w:customStyle="1" w:styleId="En-tteCar">
    <w:name w:val="En-tête Car"/>
    <w:basedOn w:val="Policepardfaut"/>
    <w:link w:val="En-tte"/>
    <w:uiPriority w:val="99"/>
    <w:rsid w:val="00FA6FFC"/>
  </w:style>
  <w:style w:type="paragraph" w:styleId="Pieddepage">
    <w:name w:val="footer"/>
    <w:basedOn w:val="Normal"/>
    <w:link w:val="PieddepageCar"/>
    <w:uiPriority w:val="99"/>
    <w:unhideWhenUsed/>
    <w:rsid w:val="00FA6F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6FFC"/>
  </w:style>
  <w:style w:type="paragraph" w:customStyle="1" w:styleId="Standard">
    <w:name w:val="Standard"/>
    <w:rsid w:val="00FC2DE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Sansinterligne">
    <w:name w:val="No Spacing"/>
    <w:uiPriority w:val="1"/>
    <w:qFormat/>
    <w:rsid w:val="002472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921286">
      <w:bodyDiv w:val="1"/>
      <w:marLeft w:val="0"/>
      <w:marRight w:val="0"/>
      <w:marTop w:val="0"/>
      <w:marBottom w:val="0"/>
      <w:divBdr>
        <w:top w:val="none" w:sz="0" w:space="0" w:color="auto"/>
        <w:left w:val="none" w:sz="0" w:space="0" w:color="auto"/>
        <w:bottom w:val="none" w:sz="0" w:space="0" w:color="auto"/>
        <w:right w:val="none" w:sz="0" w:space="0" w:color="auto"/>
      </w:divBdr>
    </w:div>
    <w:div w:id="1570727488">
      <w:bodyDiv w:val="1"/>
      <w:marLeft w:val="0"/>
      <w:marRight w:val="0"/>
      <w:marTop w:val="0"/>
      <w:marBottom w:val="0"/>
      <w:divBdr>
        <w:top w:val="none" w:sz="0" w:space="0" w:color="auto"/>
        <w:left w:val="none" w:sz="0" w:space="0" w:color="auto"/>
        <w:bottom w:val="none" w:sz="0" w:space="0" w:color="auto"/>
        <w:right w:val="none" w:sz="0" w:space="0" w:color="auto"/>
      </w:divBdr>
    </w:div>
    <w:div w:id="17535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256d354a-2d81-4d6c-aa08-4e8c456deec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ga@hendaye.com" TargetMode="External"/><Relationship Id="rId4" Type="http://schemas.openxmlformats.org/officeDocument/2006/relationships/webSettings" Target="webSettings.xml"/><Relationship Id="rId9" Type="http://schemas.openxmlformats.org/officeDocument/2006/relationships/hyperlink" Target="http://www.henday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3838</Words>
  <Characters>21109</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BEGARDS</dc:creator>
  <cp:keywords/>
  <dc:description/>
  <cp:lastModifiedBy>Sébastien BEGARDS</cp:lastModifiedBy>
  <cp:revision>13</cp:revision>
  <cp:lastPrinted>2021-04-06T09:33:00Z</cp:lastPrinted>
  <dcterms:created xsi:type="dcterms:W3CDTF">2021-04-02T13:46:00Z</dcterms:created>
  <dcterms:modified xsi:type="dcterms:W3CDTF">2021-04-07T07:18:00Z</dcterms:modified>
</cp:coreProperties>
</file>